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454" w:type="dxa"/>
        <w:tblInd w:w="-856" w:type="dxa"/>
        <w:shd w:val="clear" w:color="auto" w:fill="FFE599" w:themeFill="accent4" w:themeFillTint="66"/>
        <w:tblLook w:val="04A0" w:firstRow="1" w:lastRow="0" w:firstColumn="1" w:lastColumn="0" w:noHBand="0" w:noVBand="1"/>
      </w:tblPr>
      <w:tblGrid>
        <w:gridCol w:w="11454"/>
      </w:tblGrid>
      <w:tr w:rsidR="00B372FA" w:rsidRPr="00C536DB" w14:paraId="37F60CA1" w14:textId="77777777" w:rsidTr="004F73A5">
        <w:trPr>
          <w:trHeight w:val="1408"/>
        </w:trPr>
        <w:tc>
          <w:tcPr>
            <w:tcW w:w="11454" w:type="dxa"/>
            <w:shd w:val="clear" w:color="auto" w:fill="FFE599" w:themeFill="accent4" w:themeFillTint="66"/>
          </w:tcPr>
          <w:p w14:paraId="218CA00A" w14:textId="6919C877" w:rsidR="00B372FA" w:rsidRPr="00CB788F" w:rsidRDefault="00CE26CC" w:rsidP="00CB788F">
            <w:pPr>
              <w:jc w:val="center"/>
              <w:rPr>
                <w:rFonts w:cstheme="minorHAnsi"/>
                <w:b/>
                <w:bCs/>
                <w:color w:val="ED7D31" w:themeColor="accent2"/>
              </w:rPr>
            </w:pPr>
            <w:r w:rsidRPr="00CB788F">
              <w:rPr>
                <w:rFonts w:cstheme="minorHAnsi"/>
                <w:noProof/>
                <w:color w:val="ED7D31" w:themeColor="accent2"/>
                <w:lang w:bidi="ur-PK"/>
              </w:rPr>
              <w:drawing>
                <wp:anchor distT="0" distB="0" distL="114300" distR="114300" simplePos="0" relativeHeight="251660288" behindDoc="0" locked="0" layoutInCell="1" allowOverlap="1" wp14:anchorId="4F32479D" wp14:editId="336035FD">
                  <wp:simplePos x="0" y="0"/>
                  <wp:positionH relativeFrom="column">
                    <wp:posOffset>6231890</wp:posOffset>
                  </wp:positionH>
                  <wp:positionV relativeFrom="page">
                    <wp:posOffset>1270</wp:posOffset>
                  </wp:positionV>
                  <wp:extent cx="944880" cy="1005840"/>
                  <wp:effectExtent l="0" t="0" r="7620" b="38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igher-education-commission-pakistan-logo-5BB6E752C3-seeklogo.co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1005840"/>
                          </a:xfrm>
                          <a:prstGeom prst="rect">
                            <a:avLst/>
                          </a:prstGeom>
                        </pic:spPr>
                      </pic:pic>
                    </a:graphicData>
                  </a:graphic>
                  <wp14:sizeRelH relativeFrom="margin">
                    <wp14:pctWidth>0</wp14:pctWidth>
                  </wp14:sizeRelH>
                  <wp14:sizeRelV relativeFrom="margin">
                    <wp14:pctHeight>0</wp14:pctHeight>
                  </wp14:sizeRelV>
                </wp:anchor>
              </w:drawing>
            </w:r>
            <w:r w:rsidR="002D4859" w:rsidRPr="00CB788F">
              <w:rPr>
                <w:rFonts w:cstheme="minorHAnsi"/>
                <w:b/>
                <w:bCs/>
                <w:noProof/>
                <w:color w:val="ED7D31" w:themeColor="accent2"/>
                <w:lang w:bidi="ur-PK"/>
              </w:rPr>
              <w:drawing>
                <wp:anchor distT="0" distB="0" distL="114300" distR="114300" simplePos="0" relativeHeight="251657216" behindDoc="0" locked="0" layoutInCell="1" allowOverlap="1" wp14:anchorId="22A12C86" wp14:editId="1D2C79D7">
                  <wp:simplePos x="0" y="0"/>
                  <wp:positionH relativeFrom="column">
                    <wp:posOffset>-62230</wp:posOffset>
                  </wp:positionH>
                  <wp:positionV relativeFrom="page">
                    <wp:posOffset>1270</wp:posOffset>
                  </wp:positionV>
                  <wp:extent cx="769620" cy="10058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AJ4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9620" cy="1005840"/>
                          </a:xfrm>
                          <a:prstGeom prst="rect">
                            <a:avLst/>
                          </a:prstGeom>
                        </pic:spPr>
                      </pic:pic>
                    </a:graphicData>
                  </a:graphic>
                  <wp14:sizeRelH relativeFrom="margin">
                    <wp14:pctWidth>0</wp14:pctWidth>
                  </wp14:sizeRelH>
                  <wp14:sizeRelV relativeFrom="margin">
                    <wp14:pctHeight>0</wp14:pctHeight>
                  </wp14:sizeRelV>
                </wp:anchor>
              </w:drawing>
            </w:r>
            <w:r w:rsidR="001C61F8" w:rsidRPr="00CB788F">
              <w:rPr>
                <w:rFonts w:cstheme="minorHAnsi"/>
                <w:b/>
                <w:bCs/>
                <w:color w:val="ED7D31" w:themeColor="accent2"/>
              </w:rPr>
              <w:t>ADVANCE SOCIAL SCIENCE ARCHIVE</w:t>
            </w:r>
            <w:r w:rsidR="00441E49" w:rsidRPr="00CB788F">
              <w:rPr>
                <w:rFonts w:cstheme="minorHAnsi"/>
                <w:b/>
                <w:bCs/>
                <w:color w:val="ED7D31" w:themeColor="accent2"/>
              </w:rPr>
              <w:t xml:space="preserve"> JOURNAL</w:t>
            </w:r>
          </w:p>
          <w:p w14:paraId="2AE45BF4" w14:textId="77777777" w:rsidR="00B372FA" w:rsidRPr="00CB788F" w:rsidRDefault="00B372FA" w:rsidP="00CB788F">
            <w:pPr>
              <w:jc w:val="center"/>
              <w:rPr>
                <w:rFonts w:cstheme="minorHAnsi"/>
              </w:rPr>
            </w:pPr>
            <w:r w:rsidRPr="00CB788F">
              <w:rPr>
                <w:rFonts w:cstheme="minorHAnsi"/>
              </w:rPr>
              <w:t xml:space="preserve">Available Online: </w:t>
            </w:r>
            <w:hyperlink r:id="rId10" w:history="1">
              <w:r w:rsidRPr="00CB788F">
                <w:rPr>
                  <w:rStyle w:val="Hyperlink"/>
                  <w:rFonts w:cstheme="minorHAnsi"/>
                </w:rPr>
                <w:t>https://assajournal.com</w:t>
              </w:r>
            </w:hyperlink>
          </w:p>
          <w:p w14:paraId="15A85B96" w14:textId="28619B29" w:rsidR="00B372FA" w:rsidRPr="00CB788F" w:rsidRDefault="00366B2F" w:rsidP="00BA6027">
            <w:pPr>
              <w:jc w:val="center"/>
              <w:rPr>
                <w:rFonts w:cstheme="minorHAnsi"/>
              </w:rPr>
            </w:pPr>
            <w:r>
              <w:rPr>
                <w:rFonts w:cstheme="minorHAnsi"/>
              </w:rPr>
              <w:t>Vol. 04 No. 0</w:t>
            </w:r>
            <w:r w:rsidR="001B60AC">
              <w:rPr>
                <w:rFonts w:cstheme="minorHAnsi"/>
              </w:rPr>
              <w:t>1</w:t>
            </w:r>
            <w:r w:rsidR="00B372FA" w:rsidRPr="00CB788F">
              <w:rPr>
                <w:rFonts w:cstheme="minorHAnsi"/>
              </w:rPr>
              <w:t xml:space="preserve">. </w:t>
            </w:r>
            <w:r w:rsidR="001B60AC">
              <w:rPr>
                <w:rFonts w:cstheme="minorHAnsi"/>
              </w:rPr>
              <w:t>July</w:t>
            </w:r>
            <w:r w:rsidR="00B372FA" w:rsidRPr="00CB788F">
              <w:rPr>
                <w:rFonts w:cstheme="minorHAnsi"/>
              </w:rPr>
              <w:t>-</w:t>
            </w:r>
            <w:r w:rsidR="001B60AC">
              <w:rPr>
                <w:rFonts w:cstheme="minorHAnsi"/>
              </w:rPr>
              <w:t>Sep</w:t>
            </w:r>
            <w:r w:rsidR="00B372FA" w:rsidRPr="00CB788F">
              <w:rPr>
                <w:rFonts w:cstheme="minorHAnsi"/>
              </w:rPr>
              <w:t xml:space="preserve"> 2025</w:t>
            </w:r>
            <w:r w:rsidR="00441E49" w:rsidRPr="00CB788F">
              <w:rPr>
                <w:rFonts w:cstheme="minorHAnsi"/>
              </w:rPr>
              <w:t>.Page#</w:t>
            </w:r>
            <w:r w:rsidR="00B372FA" w:rsidRPr="00CB788F">
              <w:rPr>
                <w:rFonts w:cstheme="minorHAnsi"/>
              </w:rPr>
              <w:t>.</w:t>
            </w:r>
            <w:r w:rsidR="00DB094C">
              <w:rPr>
                <w:rFonts w:cstheme="minorHAnsi"/>
              </w:rPr>
              <w:t>4</w:t>
            </w:r>
            <w:r w:rsidR="00AE7AD4">
              <w:rPr>
                <w:rFonts w:cstheme="minorHAnsi"/>
              </w:rPr>
              <w:t>855</w:t>
            </w:r>
            <w:r w:rsidR="000E396E">
              <w:rPr>
                <w:rFonts w:cstheme="minorHAnsi"/>
              </w:rPr>
              <w:t>-</w:t>
            </w:r>
            <w:r w:rsidR="0034621C">
              <w:rPr>
                <w:rFonts w:cstheme="minorHAnsi"/>
              </w:rPr>
              <w:t>4</w:t>
            </w:r>
            <w:r w:rsidR="004735B3">
              <w:rPr>
                <w:rFonts w:cstheme="minorHAnsi"/>
              </w:rPr>
              <w:t>865</w:t>
            </w:r>
          </w:p>
          <w:p w14:paraId="76CE48F4" w14:textId="77777777" w:rsidR="00E965D7" w:rsidRDefault="00B372FA" w:rsidP="00D359DA">
            <w:pPr>
              <w:jc w:val="center"/>
              <w:rPr>
                <w:rStyle w:val="Hyperlink"/>
                <w:rFonts w:cstheme="minorHAnsi"/>
              </w:rPr>
            </w:pPr>
            <w:r w:rsidRPr="00CB788F">
              <w:rPr>
                <w:rFonts w:cstheme="minorHAnsi"/>
              </w:rPr>
              <w:t>Print ISSN: </w:t>
            </w:r>
            <w:hyperlink r:id="rId11" w:history="1">
              <w:r w:rsidRPr="00CB788F">
                <w:rPr>
                  <w:rStyle w:val="Hyperlink"/>
                  <w:rFonts w:cstheme="minorHAnsi"/>
                </w:rPr>
                <w:t>3006-2497</w:t>
              </w:r>
            </w:hyperlink>
            <w:r w:rsidRPr="00CB788F">
              <w:rPr>
                <w:rFonts w:cstheme="minorHAnsi"/>
              </w:rPr>
              <w:t xml:space="preserve"> Online ISSN: </w:t>
            </w:r>
            <w:hyperlink r:id="rId12" w:history="1">
              <w:r w:rsidRPr="00CB788F">
                <w:rPr>
                  <w:rStyle w:val="Hyperlink"/>
                  <w:rFonts w:cstheme="minorHAnsi"/>
                </w:rPr>
                <w:t>3006-2500</w:t>
              </w:r>
            </w:hyperlink>
          </w:p>
          <w:p w14:paraId="21CFB240" w14:textId="0B7C9136" w:rsidR="00CE26CC" w:rsidRPr="00BA6027" w:rsidRDefault="00B372FA" w:rsidP="00CD6156">
            <w:pPr>
              <w:jc w:val="center"/>
              <w:rPr>
                <w:rFonts w:cstheme="minorHAnsi"/>
                <w:color w:val="0563C1" w:themeColor="hyperlink"/>
                <w:u w:val="single"/>
              </w:rPr>
            </w:pPr>
            <w:r w:rsidRPr="00CB788F">
              <w:rPr>
                <w:rFonts w:cstheme="minorHAnsi"/>
              </w:rPr>
              <w:t>Platform &amp; Workflow by: </w:t>
            </w:r>
            <w:hyperlink r:id="rId13" w:history="1">
              <w:r w:rsidRPr="00CB788F">
                <w:rPr>
                  <w:rStyle w:val="Hyperlink"/>
                  <w:rFonts w:cstheme="minorHAnsi"/>
                </w:rPr>
                <w:t>Open Journal Systems</w:t>
              </w:r>
            </w:hyperlink>
            <w:r w:rsidR="00BA6027" w:rsidRPr="00BA6027">
              <w:rPr>
                <w:rFonts w:cstheme="minorHAnsi"/>
                <w:color w:val="0563C1" w:themeColor="hyperlink"/>
                <w:u w:val="single"/>
              </w:rPr>
              <w:t xml:space="preserve"> </w:t>
            </w:r>
            <w:r w:rsidR="00CE26CC" w:rsidRPr="00BA6027">
              <w:rPr>
                <w:rFonts w:cstheme="minorHAnsi"/>
                <w:color w:val="0563C1" w:themeColor="hyperlink"/>
                <w:u w:val="single"/>
              </w:rPr>
              <w:t xml:space="preserve"> </w:t>
            </w:r>
          </w:p>
        </w:tc>
      </w:tr>
    </w:tbl>
    <w:p w14:paraId="754F4BFC" w14:textId="77777777" w:rsidR="00222C3A" w:rsidRDefault="00222C3A" w:rsidP="0027533F">
      <w:pPr>
        <w:jc w:val="center"/>
        <w:rPr>
          <w:rFonts w:cstheme="minorHAnsi"/>
          <w:b/>
          <w:bCs/>
          <w:iCs/>
          <w:color w:val="000000"/>
          <w:sz w:val="24"/>
          <w:szCs w:val="24"/>
          <w:lang w:bidi="en-US"/>
        </w:rPr>
      </w:pPr>
      <w:bookmarkStart w:id="0" w:name="_9yqr9sh4qxr9" w:colFirst="0" w:colLast="0"/>
      <w:bookmarkEnd w:id="0"/>
    </w:p>
    <w:p w14:paraId="07A92ECC" w14:textId="77777777" w:rsidR="00B831F9" w:rsidRPr="00203EF2" w:rsidRDefault="00B831F9" w:rsidP="00203EF2">
      <w:pPr>
        <w:jc w:val="center"/>
        <w:rPr>
          <w:rFonts w:cstheme="minorHAnsi"/>
          <w:b/>
          <w:bCs/>
          <w:color w:val="000000"/>
          <w:sz w:val="24"/>
          <w:szCs w:val="24"/>
          <w:lang w:bidi="en-US"/>
        </w:rPr>
      </w:pPr>
      <w:r w:rsidRPr="00203EF2">
        <w:rPr>
          <w:rFonts w:cstheme="minorHAnsi"/>
          <w:b/>
          <w:bCs/>
          <w:color w:val="000000"/>
          <w:sz w:val="24"/>
          <w:szCs w:val="24"/>
          <w:lang w:bidi="en-US"/>
        </w:rPr>
        <w:t>Narrating Decline, Imagining Revival: Abdul Halim Sharar and the Reconstruction of Muslim Memory under Colonial Rule</w:t>
      </w:r>
    </w:p>
    <w:p w14:paraId="0074F97E" w14:textId="77777777" w:rsidR="00B831F9" w:rsidRPr="00B831F9" w:rsidRDefault="00B831F9" w:rsidP="00203EF2">
      <w:pPr>
        <w:jc w:val="center"/>
        <w:rPr>
          <w:rFonts w:cstheme="minorHAnsi"/>
          <w:b/>
          <w:bCs/>
          <w:color w:val="000000"/>
          <w:sz w:val="24"/>
          <w:szCs w:val="24"/>
          <w:lang w:bidi="en-US"/>
        </w:rPr>
      </w:pPr>
      <w:r w:rsidRPr="00B831F9">
        <w:rPr>
          <w:rFonts w:cstheme="minorHAnsi"/>
          <w:b/>
          <w:bCs/>
          <w:color w:val="000000"/>
          <w:sz w:val="24"/>
          <w:szCs w:val="24"/>
          <w:lang w:bidi="en-US"/>
        </w:rPr>
        <w:t>Sayed Adeel Ijaz</w:t>
      </w:r>
    </w:p>
    <w:p w14:paraId="454C9B5B" w14:textId="4CA198F8" w:rsidR="00B831F9" w:rsidRPr="009B3801" w:rsidRDefault="00B831F9" w:rsidP="0012753C">
      <w:pPr>
        <w:jc w:val="center"/>
        <w:rPr>
          <w:rFonts w:cstheme="minorHAnsi"/>
          <w:color w:val="000000"/>
          <w:sz w:val="24"/>
          <w:szCs w:val="24"/>
          <w:lang w:bidi="en-US"/>
        </w:rPr>
      </w:pPr>
      <w:r w:rsidRPr="009B3801">
        <w:rPr>
          <w:rFonts w:cstheme="minorHAnsi"/>
          <w:color w:val="000000"/>
          <w:sz w:val="24"/>
          <w:szCs w:val="24"/>
          <w:lang w:bidi="en-US"/>
        </w:rPr>
        <w:t>Lecturer</w:t>
      </w:r>
      <w:r w:rsidR="0012753C" w:rsidRPr="009B3801">
        <w:rPr>
          <w:rFonts w:cstheme="minorHAnsi"/>
          <w:color w:val="000000"/>
          <w:sz w:val="24"/>
          <w:szCs w:val="24"/>
          <w:lang w:bidi="en-US"/>
        </w:rPr>
        <w:t xml:space="preserve">, </w:t>
      </w:r>
      <w:r w:rsidRPr="009B3801">
        <w:rPr>
          <w:rFonts w:cstheme="minorHAnsi"/>
          <w:color w:val="000000"/>
          <w:sz w:val="24"/>
          <w:szCs w:val="24"/>
          <w:lang w:bidi="en-US"/>
        </w:rPr>
        <w:t>Department of History &amp; Pakistan Studies</w:t>
      </w:r>
      <w:r w:rsidR="0012753C" w:rsidRPr="009B3801">
        <w:rPr>
          <w:rFonts w:cstheme="minorHAnsi"/>
          <w:color w:val="000000"/>
          <w:sz w:val="24"/>
          <w:szCs w:val="24"/>
          <w:lang w:bidi="en-US"/>
        </w:rPr>
        <w:t xml:space="preserve">, </w:t>
      </w:r>
      <w:r w:rsidRPr="009B3801">
        <w:rPr>
          <w:rFonts w:cstheme="minorHAnsi"/>
          <w:color w:val="000000"/>
          <w:sz w:val="24"/>
          <w:szCs w:val="24"/>
          <w:lang w:bidi="en-US"/>
        </w:rPr>
        <w:t>Forman Christian College University, Lahore</w:t>
      </w:r>
      <w:r w:rsidR="009B3801">
        <w:rPr>
          <w:rFonts w:cstheme="minorHAnsi"/>
          <w:color w:val="000000"/>
          <w:sz w:val="24"/>
          <w:szCs w:val="24"/>
          <w:lang w:bidi="en-US"/>
        </w:rPr>
        <w:t>.</w:t>
      </w:r>
    </w:p>
    <w:p w14:paraId="7C6833BE" w14:textId="169FECC4" w:rsidR="00B831F9" w:rsidRPr="002F2C59" w:rsidRDefault="00B831F9" w:rsidP="002F2C59">
      <w:pPr>
        <w:jc w:val="center"/>
        <w:rPr>
          <w:rFonts w:cstheme="minorHAnsi"/>
          <w:color w:val="000000"/>
          <w:sz w:val="24"/>
          <w:szCs w:val="24"/>
          <w:lang w:bidi="en-US"/>
        </w:rPr>
      </w:pPr>
      <w:hyperlink r:id="rId14" w:history="1">
        <w:r w:rsidRPr="009B3801">
          <w:rPr>
            <w:rStyle w:val="Hyperlink"/>
            <w:rFonts w:cstheme="minorHAnsi"/>
            <w:sz w:val="24"/>
            <w:szCs w:val="24"/>
            <w:lang w:bidi="en-US"/>
          </w:rPr>
          <w:t>adeelijaz@fccollege.edu.pk</w:t>
        </w:r>
      </w:hyperlink>
    </w:p>
    <w:p w14:paraId="4495FCA1" w14:textId="77777777" w:rsidR="00B831F9" w:rsidRPr="00B831F9" w:rsidRDefault="00B831F9" w:rsidP="00203EF2">
      <w:pPr>
        <w:jc w:val="center"/>
        <w:rPr>
          <w:rFonts w:cstheme="minorHAnsi"/>
          <w:b/>
          <w:bCs/>
          <w:color w:val="000000"/>
          <w:sz w:val="24"/>
          <w:szCs w:val="24"/>
          <w:lang w:bidi="en-US"/>
        </w:rPr>
      </w:pPr>
      <w:r w:rsidRPr="00B831F9">
        <w:rPr>
          <w:rFonts w:cstheme="minorHAnsi"/>
          <w:b/>
          <w:bCs/>
          <w:color w:val="000000"/>
          <w:sz w:val="24"/>
          <w:szCs w:val="24"/>
          <w:lang w:bidi="en-US"/>
        </w:rPr>
        <w:t>Prof. Dr. Naumana Kiran</w:t>
      </w:r>
    </w:p>
    <w:p w14:paraId="150DECE5" w14:textId="75F11829" w:rsidR="00B831F9" w:rsidRPr="002F2C59" w:rsidRDefault="00B831F9" w:rsidP="002F2C59">
      <w:pPr>
        <w:jc w:val="center"/>
        <w:rPr>
          <w:rFonts w:cstheme="minorHAnsi"/>
          <w:color w:val="000000"/>
          <w:sz w:val="24"/>
          <w:szCs w:val="24"/>
          <w:lang w:bidi="en-US"/>
        </w:rPr>
      </w:pPr>
      <w:r w:rsidRPr="002F2C59">
        <w:rPr>
          <w:rFonts w:cstheme="minorHAnsi"/>
          <w:color w:val="000000"/>
          <w:sz w:val="24"/>
          <w:szCs w:val="24"/>
          <w:lang w:bidi="en-US"/>
        </w:rPr>
        <w:t>Professor</w:t>
      </w:r>
      <w:r w:rsidR="002F2C59" w:rsidRPr="002F2C59">
        <w:rPr>
          <w:rFonts w:cstheme="minorHAnsi"/>
          <w:color w:val="000000"/>
          <w:sz w:val="24"/>
          <w:szCs w:val="24"/>
          <w:lang w:bidi="en-US"/>
        </w:rPr>
        <w:t xml:space="preserve">, </w:t>
      </w:r>
      <w:r w:rsidRPr="002F2C59">
        <w:rPr>
          <w:rFonts w:cstheme="minorHAnsi"/>
          <w:color w:val="000000"/>
          <w:sz w:val="24"/>
          <w:szCs w:val="24"/>
          <w:lang w:bidi="en-US"/>
        </w:rPr>
        <w:t>Department of History &amp; Pakistan Studies</w:t>
      </w:r>
      <w:r w:rsidR="002F2C59" w:rsidRPr="002F2C59">
        <w:rPr>
          <w:rFonts w:cstheme="minorHAnsi"/>
          <w:color w:val="000000"/>
          <w:sz w:val="24"/>
          <w:szCs w:val="24"/>
          <w:lang w:bidi="en-US"/>
        </w:rPr>
        <w:t xml:space="preserve">, </w:t>
      </w:r>
      <w:r w:rsidRPr="002F2C59">
        <w:rPr>
          <w:rFonts w:cstheme="minorHAnsi"/>
          <w:color w:val="000000"/>
          <w:sz w:val="24"/>
          <w:szCs w:val="24"/>
          <w:lang w:bidi="en-US"/>
        </w:rPr>
        <w:t>University of Punjab, Lahore</w:t>
      </w:r>
      <w:r w:rsidR="002F2C59">
        <w:rPr>
          <w:rFonts w:cstheme="minorHAnsi"/>
          <w:color w:val="000000"/>
          <w:sz w:val="24"/>
          <w:szCs w:val="24"/>
          <w:lang w:bidi="en-US"/>
        </w:rPr>
        <w:t>.</w:t>
      </w:r>
    </w:p>
    <w:p w14:paraId="59450E8F" w14:textId="2117DD63" w:rsidR="00B831F9" w:rsidRPr="001029AA" w:rsidRDefault="00B831F9" w:rsidP="001029AA">
      <w:pPr>
        <w:jc w:val="center"/>
        <w:rPr>
          <w:rFonts w:cstheme="minorHAnsi"/>
          <w:color w:val="000000"/>
          <w:sz w:val="24"/>
          <w:szCs w:val="24"/>
          <w:lang w:bidi="en-US"/>
        </w:rPr>
      </w:pPr>
      <w:hyperlink r:id="rId15" w:history="1">
        <w:r w:rsidRPr="002F2C59">
          <w:rPr>
            <w:rStyle w:val="Hyperlink"/>
            <w:rFonts w:cstheme="minorHAnsi"/>
            <w:sz w:val="24"/>
            <w:szCs w:val="24"/>
            <w:lang w:bidi="en-US"/>
          </w:rPr>
          <w:t>Naumana.history@pu.edu.pk</w:t>
        </w:r>
      </w:hyperlink>
    </w:p>
    <w:p w14:paraId="494C6967" w14:textId="77777777" w:rsidR="00B831F9" w:rsidRPr="00B831F9" w:rsidRDefault="00B831F9" w:rsidP="00203EF2">
      <w:pPr>
        <w:jc w:val="center"/>
        <w:rPr>
          <w:rFonts w:cstheme="minorHAnsi"/>
          <w:b/>
          <w:bCs/>
          <w:color w:val="000000"/>
          <w:sz w:val="24"/>
          <w:szCs w:val="24"/>
          <w:lang w:bidi="en-US"/>
        </w:rPr>
      </w:pPr>
      <w:r w:rsidRPr="00B831F9">
        <w:rPr>
          <w:rFonts w:cstheme="minorHAnsi"/>
          <w:b/>
          <w:bCs/>
          <w:color w:val="000000"/>
          <w:sz w:val="24"/>
          <w:szCs w:val="24"/>
          <w:lang w:bidi="en-US"/>
        </w:rPr>
        <w:t>Dr. Muhammad Mahboob Ahmad</w:t>
      </w:r>
    </w:p>
    <w:p w14:paraId="13746C03" w14:textId="7AC7A1B4" w:rsidR="00B831F9" w:rsidRPr="001029AA" w:rsidRDefault="00B831F9" w:rsidP="00203EF2">
      <w:pPr>
        <w:jc w:val="center"/>
        <w:rPr>
          <w:rFonts w:cstheme="minorHAnsi"/>
          <w:color w:val="000000"/>
          <w:sz w:val="24"/>
          <w:szCs w:val="24"/>
          <w:lang w:bidi="en-US"/>
        </w:rPr>
      </w:pPr>
      <w:r w:rsidRPr="001029AA">
        <w:rPr>
          <w:rFonts w:cstheme="minorHAnsi"/>
          <w:color w:val="000000"/>
          <w:sz w:val="24"/>
          <w:szCs w:val="24"/>
          <w:lang w:bidi="en-US"/>
        </w:rPr>
        <w:t>Assistant Professor, Institute of English Language and Literature, GC University, Lahore</w:t>
      </w:r>
      <w:r w:rsidR="00AE7AD4">
        <w:rPr>
          <w:rFonts w:cstheme="minorHAnsi"/>
          <w:color w:val="000000"/>
          <w:sz w:val="24"/>
          <w:szCs w:val="24"/>
          <w:lang w:bidi="en-US"/>
        </w:rPr>
        <w:t>.</w:t>
      </w:r>
    </w:p>
    <w:p w14:paraId="74606F86" w14:textId="77777777" w:rsidR="00B831F9" w:rsidRPr="001029AA" w:rsidRDefault="00B831F9" w:rsidP="00203EF2">
      <w:pPr>
        <w:jc w:val="center"/>
        <w:rPr>
          <w:rFonts w:cstheme="minorHAnsi"/>
          <w:color w:val="000000"/>
          <w:sz w:val="24"/>
          <w:szCs w:val="24"/>
          <w:lang w:bidi="en-US"/>
        </w:rPr>
      </w:pPr>
      <w:hyperlink r:id="rId16" w:history="1">
        <w:r w:rsidRPr="001029AA">
          <w:rPr>
            <w:rStyle w:val="Hyperlink"/>
            <w:rFonts w:cstheme="minorHAnsi"/>
            <w:sz w:val="24"/>
            <w:szCs w:val="24"/>
            <w:lang w:bidi="en-US"/>
          </w:rPr>
          <w:t>mahboobahmad@gcu.edu.pk</w:t>
        </w:r>
      </w:hyperlink>
    </w:p>
    <w:p w14:paraId="6C444F55" w14:textId="078FB11B" w:rsidR="00463DA0" w:rsidRPr="00463DA0" w:rsidRDefault="00543316" w:rsidP="00354DB9">
      <w:pPr>
        <w:jc w:val="both"/>
        <w:rPr>
          <w:rFonts w:cstheme="minorHAnsi"/>
          <w:b/>
          <w:bCs/>
          <w:color w:val="000000"/>
          <w:sz w:val="24"/>
          <w:szCs w:val="24"/>
        </w:rPr>
      </w:pPr>
      <w:r w:rsidRPr="00FE5BC2">
        <w:rPr>
          <w:rFonts w:cstheme="minorHAnsi"/>
          <w:b/>
          <w:bCs/>
          <w:color w:val="000000"/>
          <w:sz w:val="24"/>
          <w:szCs w:val="24"/>
        </w:rPr>
        <w:t xml:space="preserve">ABSTRACT </w:t>
      </w:r>
      <w:bookmarkStart w:id="1" w:name="_Toc199185854"/>
    </w:p>
    <w:bookmarkEnd w:id="1"/>
    <w:p w14:paraId="0FA2CD10" w14:textId="1E5C5904" w:rsidR="00341330" w:rsidRPr="00341330" w:rsidRDefault="00341330" w:rsidP="00341330">
      <w:pPr>
        <w:jc w:val="both"/>
        <w:rPr>
          <w:rFonts w:eastAsia="Calibri" w:cstheme="minorHAnsi"/>
          <w:bCs/>
          <w:i/>
          <w:iCs/>
          <w:color w:val="000000"/>
          <w:sz w:val="24"/>
          <w:szCs w:val="24"/>
          <w:lang w:bidi="en-US"/>
        </w:rPr>
      </w:pPr>
      <w:r w:rsidRPr="00341330">
        <w:rPr>
          <w:rFonts w:eastAsia="Calibri" w:cstheme="minorHAnsi"/>
          <w:bCs/>
          <w:i/>
          <w:iCs/>
          <w:color w:val="000000"/>
          <w:sz w:val="24"/>
          <w:szCs w:val="24"/>
          <w:lang w:bidi="en-US"/>
        </w:rPr>
        <w:t xml:space="preserve">This article examines Abdul Halim Sharar (1866–1926) as a case study in how historical fiction functioned as a vehicle for collective memory-making among Indian Muslims under colonial rule. While existing scholarship on Sharar and late-nineteenth-century Urdu literature has explored emotion, reform, and political resistance in the period’s fiction, it has largely treated history as backdrop and has not examined how Sharar deliberately reconstructed Muslim collective memory or used narratives of civilizational decline as a strategy for imagining revival. Addressing this gap, the article traces Sharar’s formation within a declining Lucknow courtly milieu, his theological and journalistic apprenticeship, and his turn to the historical novel following his encounter with Bankim Chandra Chatterjee’s fiction, situating his major works against the political and intellectual upheavals of the 1900s–1920s, from the Muslim League’s formation and the Morley-Minto Reforms to the Ottoman Caliphate’s collapse and the Khilafat Movement. Drawing on Antonio Gramsci’s theory of culture as a site of hegemonic negotiation and Gilles Deleuze’s concepts of deterritorialization and reterritorialization, alongside Georg Lukács’s account of the historical novel and Hayden White’s notion of </w:t>
      </w:r>
      <w:r w:rsidR="00DD7EED" w:rsidRPr="00341330">
        <w:rPr>
          <w:rFonts w:eastAsia="Calibri" w:cstheme="minorHAnsi"/>
          <w:bCs/>
          <w:i/>
          <w:iCs/>
          <w:color w:val="000000"/>
          <w:sz w:val="24"/>
          <w:szCs w:val="24"/>
          <w:lang w:bidi="en-US"/>
        </w:rPr>
        <w:t>employment</w:t>
      </w:r>
      <w:r w:rsidRPr="00341330">
        <w:rPr>
          <w:rFonts w:eastAsia="Calibri" w:cstheme="minorHAnsi"/>
          <w:bCs/>
          <w:i/>
          <w:iCs/>
          <w:color w:val="000000"/>
          <w:sz w:val="24"/>
          <w:szCs w:val="24"/>
          <w:lang w:bidi="en-US"/>
        </w:rPr>
        <w:t>, the article argues that Sharar’s fiction reworked colonial narratives of Muslim decline into emotionally resonant stories of heroism and moral discipline. In doing so, his writing operated simultaneously as an act of historical recovery and a project of communal reinvention, demonstrating that the loss of political sovereignty did not entail the loss of cultural and spiritual identity, and leaving a durable imprint on the subsequent tradition of Urdu historical fiction.</w:t>
      </w:r>
    </w:p>
    <w:p w14:paraId="73A1A372" w14:textId="1A7B859F" w:rsidR="00341330" w:rsidRPr="00341330" w:rsidRDefault="00341330" w:rsidP="00341330">
      <w:pPr>
        <w:jc w:val="both"/>
        <w:rPr>
          <w:rFonts w:eastAsia="Calibri" w:cstheme="minorHAnsi"/>
          <w:bCs/>
          <w:i/>
          <w:iCs/>
          <w:color w:val="000000"/>
          <w:sz w:val="24"/>
          <w:szCs w:val="24"/>
          <w:lang w:bidi="en-US"/>
        </w:rPr>
      </w:pPr>
      <w:r w:rsidRPr="00144C18">
        <w:rPr>
          <w:rFonts w:eastAsia="Calibri" w:cstheme="minorHAnsi"/>
          <w:b/>
          <w:i/>
          <w:iCs/>
          <w:color w:val="000000"/>
          <w:sz w:val="24"/>
          <w:szCs w:val="24"/>
          <w:lang w:bidi="en-US"/>
        </w:rPr>
        <w:t>Keywords</w:t>
      </w:r>
      <w:r w:rsidRPr="00341330">
        <w:rPr>
          <w:rFonts w:eastAsia="Calibri" w:cstheme="minorHAnsi"/>
          <w:bCs/>
          <w:i/>
          <w:iCs/>
          <w:color w:val="000000"/>
          <w:sz w:val="24"/>
          <w:szCs w:val="24"/>
          <w:lang w:bidi="en-US"/>
        </w:rPr>
        <w:t>: Abdul Halim Sharar</w:t>
      </w:r>
      <w:r w:rsidR="00DD7EED" w:rsidRPr="00341330">
        <w:rPr>
          <w:rFonts w:eastAsia="Calibri" w:cstheme="minorHAnsi"/>
          <w:bCs/>
          <w:i/>
          <w:iCs/>
          <w:color w:val="000000"/>
          <w:sz w:val="24"/>
          <w:szCs w:val="24"/>
          <w:lang w:bidi="en-US"/>
        </w:rPr>
        <w:t xml:space="preserve">; </w:t>
      </w:r>
      <w:r w:rsidRPr="00341330">
        <w:rPr>
          <w:rFonts w:eastAsia="Calibri" w:cstheme="minorHAnsi"/>
          <w:bCs/>
          <w:i/>
          <w:iCs/>
          <w:color w:val="000000"/>
          <w:sz w:val="24"/>
          <w:szCs w:val="24"/>
          <w:lang w:bidi="en-US"/>
        </w:rPr>
        <w:t xml:space="preserve">Urdu </w:t>
      </w:r>
      <w:r w:rsidR="00DD7EED" w:rsidRPr="00341330">
        <w:rPr>
          <w:rFonts w:eastAsia="Calibri" w:cstheme="minorHAnsi"/>
          <w:bCs/>
          <w:i/>
          <w:iCs/>
          <w:color w:val="000000"/>
          <w:sz w:val="24"/>
          <w:szCs w:val="24"/>
          <w:lang w:bidi="en-US"/>
        </w:rPr>
        <w:t xml:space="preserve">Historical Novel; Collective Memory; Colonial </w:t>
      </w:r>
      <w:r w:rsidRPr="00341330">
        <w:rPr>
          <w:rFonts w:eastAsia="Calibri" w:cstheme="minorHAnsi"/>
          <w:bCs/>
          <w:i/>
          <w:iCs/>
          <w:color w:val="000000"/>
          <w:sz w:val="24"/>
          <w:szCs w:val="24"/>
          <w:lang w:bidi="en-US"/>
        </w:rPr>
        <w:t xml:space="preserve">Muslim </w:t>
      </w:r>
      <w:r w:rsidR="00DD7EED" w:rsidRPr="00341330">
        <w:rPr>
          <w:rFonts w:eastAsia="Calibri" w:cstheme="minorHAnsi"/>
          <w:bCs/>
          <w:i/>
          <w:iCs/>
          <w:color w:val="000000"/>
          <w:sz w:val="24"/>
          <w:szCs w:val="24"/>
          <w:lang w:bidi="en-US"/>
        </w:rPr>
        <w:t xml:space="preserve">Identity; </w:t>
      </w:r>
      <w:r w:rsidRPr="00341330">
        <w:rPr>
          <w:rFonts w:eastAsia="Calibri" w:cstheme="minorHAnsi"/>
          <w:bCs/>
          <w:i/>
          <w:iCs/>
          <w:color w:val="000000"/>
          <w:sz w:val="24"/>
          <w:szCs w:val="24"/>
          <w:lang w:bidi="en-US"/>
        </w:rPr>
        <w:t>Khilafat Movement</w:t>
      </w:r>
    </w:p>
    <w:p w14:paraId="6E90A746" w14:textId="4127D443" w:rsidR="00427289" w:rsidRPr="00427289" w:rsidRDefault="00427289" w:rsidP="00427289">
      <w:pPr>
        <w:jc w:val="both"/>
        <w:rPr>
          <w:rFonts w:ascii="Calibri" w:eastAsia="Calibri" w:cstheme="minorHAnsi"/>
          <w:b/>
          <w:bCs/>
          <w:color w:val="000000"/>
          <w:sz w:val="24"/>
          <w:szCs w:val="24"/>
          <w:lang w:bidi="en-US"/>
        </w:rPr>
      </w:pPr>
      <w:r w:rsidRPr="00427289">
        <w:rPr>
          <w:rFonts w:ascii="Calibri" w:eastAsia="Calibri" w:cstheme="minorHAnsi"/>
          <w:b/>
          <w:bCs/>
          <w:color w:val="000000"/>
          <w:sz w:val="24"/>
          <w:szCs w:val="24"/>
          <w:lang w:val="fr-FR" w:bidi="en-US"/>
        </w:rPr>
        <w:t>Introduction</w:t>
      </w:r>
    </w:p>
    <w:p w14:paraId="4DB9BF14" w14:textId="77777777" w:rsidR="00AC44A9" w:rsidRPr="00AC44A9" w:rsidRDefault="00AC44A9" w:rsidP="00AC44A9">
      <w:pPr>
        <w:jc w:val="both"/>
        <w:rPr>
          <w:rFonts w:ascii="Calibri" w:eastAsia="Calibri" w:cstheme="minorHAnsi"/>
          <w:b/>
          <w:bCs/>
          <w:color w:val="000000"/>
          <w:sz w:val="24"/>
          <w:szCs w:val="24"/>
          <w:lang w:bidi="en-US"/>
        </w:rPr>
      </w:pPr>
      <w:r w:rsidRPr="00AC44A9">
        <w:rPr>
          <w:rFonts w:ascii="Calibri" w:eastAsia="Calibri" w:cstheme="minorHAnsi"/>
          <w:bCs/>
          <w:color w:val="000000"/>
          <w:sz w:val="24"/>
          <w:szCs w:val="24"/>
          <w:lang w:bidi="en-US"/>
        </w:rPr>
        <w:t xml:space="preserve">Fiction rebuilds what politics destroys. After the War of Independence of 1857, Muslims responded to Western dominance in multiple ways: some through Islamic revivalist movements, others through political strategies, and many through literature. Several Muslim intellectuals, such as Deputy Nazir Ahmad () used fiction as a reformist tool to diagnose social decline and to advocate moral and ethical regeneration within Muslim society. In the same </w:t>
      </w:r>
      <w:r w:rsidRPr="00AC44A9">
        <w:rPr>
          <w:rFonts w:ascii="Calibri" w:eastAsia="Calibri" w:cstheme="minorHAnsi"/>
          <w:bCs/>
          <w:color w:val="000000"/>
          <w:sz w:val="24"/>
          <w:szCs w:val="24"/>
          <w:lang w:bidi="en-US"/>
        </w:rPr>
        <w:lastRenderedPageBreak/>
        <w:t xml:space="preserve">intellectual tradition stands Abdul Halim Sharar (1866 – 1926), who consciously employed historical novels to articulate a Muslim response to modernity. His works such as </w:t>
      </w:r>
      <w:r w:rsidRPr="00AC44A9">
        <w:rPr>
          <w:rFonts w:ascii="Calibri" w:eastAsia="Calibri" w:cstheme="minorHAnsi"/>
          <w:bCs/>
          <w:i/>
          <w:iCs/>
          <w:color w:val="000000"/>
          <w:sz w:val="24"/>
          <w:szCs w:val="24"/>
          <w:lang w:bidi="en-US"/>
        </w:rPr>
        <w:t>Joya-e-Islam</w:t>
      </w:r>
      <w:r w:rsidRPr="00AC44A9">
        <w:rPr>
          <w:rFonts w:ascii="Calibri" w:eastAsia="Calibri" w:cstheme="minorHAnsi"/>
          <w:bCs/>
          <w:color w:val="000000"/>
          <w:sz w:val="24"/>
          <w:szCs w:val="24"/>
          <w:lang w:bidi="en-US"/>
        </w:rPr>
        <w:t xml:space="preserve">, </w:t>
      </w:r>
      <w:r w:rsidRPr="00AC44A9">
        <w:rPr>
          <w:rFonts w:ascii="Calibri" w:eastAsia="Calibri" w:cstheme="minorHAnsi"/>
          <w:bCs/>
          <w:i/>
          <w:iCs/>
          <w:color w:val="000000"/>
          <w:sz w:val="24"/>
          <w:szCs w:val="24"/>
          <w:lang w:bidi="en-US"/>
        </w:rPr>
        <w:t>Guzashta Lucknow</w:t>
      </w:r>
      <w:r w:rsidRPr="00AC44A9">
        <w:rPr>
          <w:rFonts w:ascii="Calibri" w:eastAsia="Calibri" w:cstheme="minorHAnsi"/>
          <w:bCs/>
          <w:color w:val="000000"/>
          <w:sz w:val="24"/>
          <w:szCs w:val="24"/>
          <w:lang w:bidi="en-US"/>
        </w:rPr>
        <w:t xml:space="preserve">, </w:t>
      </w:r>
      <w:r w:rsidRPr="00AC44A9">
        <w:rPr>
          <w:rFonts w:ascii="Calibri" w:eastAsia="Calibri" w:cstheme="minorHAnsi"/>
          <w:bCs/>
          <w:i/>
          <w:iCs/>
          <w:color w:val="000000"/>
          <w:sz w:val="24"/>
          <w:szCs w:val="24"/>
          <w:lang w:bidi="en-US"/>
        </w:rPr>
        <w:t>Firdos-e-Bareen</w:t>
      </w:r>
      <w:r w:rsidRPr="00AC44A9">
        <w:rPr>
          <w:rFonts w:ascii="Calibri" w:eastAsia="Calibri" w:cstheme="minorHAnsi"/>
          <w:bCs/>
          <w:color w:val="000000"/>
          <w:sz w:val="24"/>
          <w:szCs w:val="24"/>
          <w:lang w:bidi="en-US"/>
        </w:rPr>
        <w:t xml:space="preserve"> reveal Sharar’s larger objective to reconstruct a collective Muslim memory that could inspire confidence, discipline, and ethical revival. His persistent return to Islamic history through fiction raises an important question: why did he choose the novel as his medium? Does he argue, through fiction, that political decline does not mean a decline in identity? Do these literary works show that fiction is not just entertainment, but a space to think about decline, identity, and the future of Muslim society in response to the West? I shall research this aspect of Muslim society in colonial Indian through his fiction. </w:t>
      </w:r>
    </w:p>
    <w:p w14:paraId="69E43B9D"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Scholars have studied Abdul Halim Sharar and late-nineteenth-century Urdu literature in detail (Oesterheld, 2016; Komal, 2002; Safdar Ahmed, 2012; Khan, 2024; Bose, 2014; Xie, 2023; Wan, 2020; Gopal, 2019; Nguyen, 2016; Hanscom, 2013; Ghosh, 2017; Alavi, 2015; Fatmi, 1986). They have looked at how emotion, love, and religious passion appeared in domestic reform novels and Islamic historical fiction after 1857. They have also examined how Urdu writers used literature to respond to political decline, social change, and British colonial rule. These studies show that Sharar drew on reformist ideas to strengthen Muslim identity. Scholars have also placed Urdu fiction within the larger story of identity formation in colonial South Asia. Most of these works treat history only as background. They focus more on poetry, language, or direct political resistance than on historical fiction. Above all, they have not closely examined how Sharar deliberately rebuilt collective Muslim memory, nor have they explored how he used stories of civilizational decline as a deliberate strategy to imagine revival. This article fills these gaps. By reshaping memories of the Muslim past into emotionally powerful stories, Sharar turned colonial anxiety and the pain of loss into a force for moral, cultural, and communal renewal. In doing so, he reconstructed Muslim collective memory and inspired a sense of ethical regeneration under British rule. In the article, I will employ the ideas of Antonio Gramsci (1891 – 1937) and Gilles Deleuze (1925 – 1995) to understand Abdul Halim Sharar’s writings. According to Gramsci’s view, culture and writing do not just reflect society, but they help to understand that how people think and what they value (Gramsci, 1971, pp. 12–13). Such as Sharar wrote </w:t>
      </w:r>
      <w:r w:rsidRPr="00AC44A9">
        <w:rPr>
          <w:rFonts w:ascii="Calibri" w:eastAsia="Calibri" w:cstheme="minorHAnsi"/>
          <w:bCs/>
          <w:i/>
          <w:iCs/>
          <w:color w:val="000000"/>
          <w:sz w:val="24"/>
          <w:szCs w:val="24"/>
          <w:lang w:bidi="en-US"/>
        </w:rPr>
        <w:t>Ghuzashta-e-Lucknow</w:t>
      </w:r>
      <w:r w:rsidRPr="00AC44A9">
        <w:rPr>
          <w:rFonts w:ascii="Calibri" w:eastAsia="Calibri" w:cstheme="minorHAnsi"/>
          <w:bCs/>
          <w:color w:val="000000"/>
          <w:sz w:val="24"/>
          <w:szCs w:val="24"/>
          <w:lang w:bidi="en-US"/>
        </w:rPr>
        <w:t xml:space="preserve">, </w:t>
      </w:r>
      <w:r w:rsidRPr="00AC44A9">
        <w:rPr>
          <w:rFonts w:ascii="Calibri" w:eastAsia="Calibri" w:cstheme="minorHAnsi"/>
          <w:bCs/>
          <w:i/>
          <w:iCs/>
          <w:color w:val="000000"/>
          <w:sz w:val="24"/>
          <w:szCs w:val="24"/>
          <w:lang w:bidi="en-US"/>
        </w:rPr>
        <w:t>Firdaus-e-Bareen</w:t>
      </w:r>
      <w:r w:rsidRPr="00AC44A9">
        <w:rPr>
          <w:rFonts w:ascii="Calibri" w:eastAsia="Calibri" w:cstheme="minorHAnsi"/>
          <w:bCs/>
          <w:color w:val="000000"/>
          <w:sz w:val="24"/>
          <w:szCs w:val="24"/>
          <w:lang w:bidi="en-US"/>
        </w:rPr>
        <w:t xml:space="preserve">, and </w:t>
      </w:r>
      <w:r w:rsidRPr="00AC44A9">
        <w:rPr>
          <w:rFonts w:ascii="Calibri" w:eastAsia="Calibri" w:cstheme="minorHAnsi"/>
          <w:bCs/>
          <w:i/>
          <w:iCs/>
          <w:color w:val="000000"/>
          <w:sz w:val="24"/>
          <w:szCs w:val="24"/>
          <w:lang w:bidi="en-US"/>
        </w:rPr>
        <w:t>Joya-e-Haq</w:t>
      </w:r>
      <w:r w:rsidRPr="00AC44A9">
        <w:rPr>
          <w:rFonts w:ascii="Calibri" w:eastAsia="Calibri" w:cstheme="minorHAnsi"/>
          <w:bCs/>
          <w:color w:val="000000"/>
          <w:sz w:val="24"/>
          <w:szCs w:val="24"/>
          <w:lang w:bidi="en-US"/>
        </w:rPr>
        <w:t>, through which he portrayed the Muslim past and the culture that flourished under Muslim civilization, in this context Antonio Gramsci helps in understanding Sharar’s text through a different lens, which I shall discuss in the article. In this context, Sharar’s work can be seen as an attempt to rebuild Muslim identity by presenting the past as a model for the present. At the same time, Deleuze helps us see that this past is not fixed or simply remembered. It is re-created through writing, where memory becomes active and open to new meanings (Deleuze, 1994, pp. 70–79). Taken together, these ideas show that Sharar’s history and fiction are not only about loss, but also about making new ways of thinking and being in a changing colonial world.</w:t>
      </w:r>
    </w:p>
    <w:p w14:paraId="73CFE35A" w14:textId="77777777" w:rsidR="00AC44A9" w:rsidRPr="00AC44A9" w:rsidRDefault="00AC44A9" w:rsidP="00AC44A9">
      <w:pPr>
        <w:jc w:val="both"/>
        <w:rPr>
          <w:rFonts w:ascii="Calibri" w:eastAsia="Calibri" w:cstheme="minorHAnsi"/>
          <w:b/>
          <w:bCs/>
          <w:color w:val="000000"/>
          <w:sz w:val="24"/>
          <w:szCs w:val="24"/>
          <w:lang w:bidi="en-US"/>
        </w:rPr>
      </w:pPr>
      <w:r w:rsidRPr="00AC44A9">
        <w:rPr>
          <w:rFonts w:ascii="Calibri" w:eastAsia="Calibri" w:cstheme="minorHAnsi"/>
          <w:b/>
          <w:bCs/>
          <w:color w:val="000000"/>
          <w:sz w:val="24"/>
          <w:szCs w:val="24"/>
          <w:lang w:bidi="en-US"/>
        </w:rPr>
        <w:t>Abdul Halim Sharar in post-1857 colonial India</w:t>
      </w:r>
    </w:p>
    <w:p w14:paraId="0951F46D"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Abdul Halim Sharar’s background helps explain both his literary concerns and his style. His family had long been associated with courts and scholarly traditions, moving from the Abbasid world to India and later becoming attached to Mughal and Awadhi power structures (Sharif Ahmed, 1989, pp. 27–29). By the time Sharar was born in Lucknow, however, this world had already begun to decline. The court still existed, but its political power had faded. What remained was etiquette, memory, and a sense of lost grandeur. This early exposure shaped Sharar deeply. He grew up in an environment where the past was not fully present, but not entirely gone either. It survived in stories, manners, and fragments of culture. Historians of colonial India often describe this moment as one of cultural anxiety, where communities </w:t>
      </w:r>
      <w:r w:rsidRPr="00AC44A9">
        <w:rPr>
          <w:rFonts w:ascii="Calibri" w:eastAsia="Calibri" w:cstheme="minorHAnsi"/>
          <w:bCs/>
          <w:color w:val="000000"/>
          <w:sz w:val="24"/>
          <w:szCs w:val="24"/>
          <w:lang w:bidi="en-US"/>
        </w:rPr>
        <w:lastRenderedPageBreak/>
        <w:t>turned to memory to make sense of loss. Sharar’s work clearly emerges from this condition. His writing is not just about remembering the past; it is about holding onto it and reshaping it.</w:t>
      </w:r>
    </w:p>
    <w:p w14:paraId="281AAF79"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His education further strengthened this tendency. In Matiya Burj, he studied Arabic, Persian, and Urdu with great intensity (Sharif Ahmed, 1989). His father ensured a rigorous intellectual training. At the same time, his informal learning was equally important. He spent time with scholars and courtiers, listening carefully, observing language, and absorbing styles of speech. This combination of formal learning and lived culture refined both his thought and expression. The courtly environment played a decisive role. His close association with princes and elite gatherings trained his ear for language and metaphor. He did not simply observe; he participated. He listened, repeated, and internalized. Over time, this produced a distinct literary voice. His writing carries a sense of rhythm, elegance, and emotional force. It often reads as if it is speaking directly to the reader, almost like a performance. Scholars of Urdu prose have noted that this style blends storytelling with persuasion, making it especially effective for moral and cultural arguments (Sharif Ahmed, 1989).</w:t>
      </w:r>
    </w:p>
    <w:p w14:paraId="22CA7F70"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At the same time, this environment also shaped his limitations: the Lucknow he remembered was largely an elite Lucknow, and ordinary voices rarely appear in his work. This selective memory is significant, since, as some historians argue, nostalgia often simplifies the past by privileging refined culture over social diversity. Sharar's work reflects this tendency even as it strives to preserve a valuable cultural world. His intellectual direction became clearer when he joined the circle of Maulana Abdul Hayy (Sharif Ahmed, 1989, pp. 89–117). Here, religious and theological debates were intense. Questions of sect, reform, and authority were widely discussed. These debates left a strong impression on Sharar. They gave his thinking a sense of purpose. He began to see writing not only as expression, but as responsibility. His growing interest in Islamic history also took shape in this environment.</w:t>
      </w:r>
    </w:p>
    <w:p w14:paraId="4D87B44B"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Sitting in scholarly gatherings and reading extensively created in him a strong desire to write. At the same time, his exposure to court culture gave his writing emotional depth and stylistic strength. These two influences came together when he joined Oudh Akhbar, under Munshi Nawal Kishore (Fatmi, 1986, pp. 17–79). There, he began writing on political, religious, and philosophical issues. His style was new and engaging. It quickly gained attention. Even Sir Syed Ahmad Khan recognized his talent and appreciated his work. His later travels to Hyderabad, Bombay, Baroda, and Ajmer further expanded his understanding. He saw the condition of Muslim society more closely. Decline was no longer an abstract idea but a lived reality, an experience that sharpened his concern for reform and lent urgency to his writing. At the same time, the intellectual climate of India was changing rapidly (Fatmi, 1986). Reform movements were rising. New ideas were circulating. The formation of the Indian National Congress was beginning to reshape political thinking. Sharar’s work developed within this shifting landscape (Fatmi, 1986).</w:t>
      </w:r>
    </w:p>
    <w:p w14:paraId="6A1C7B75"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Another important turning point was his engagement with English literature. Although he initially struggled with the language, his persistence allowed him to access new literary forms. The translation of Bankim Chandra Chatterjee’s Durgesh Nandini had a particularly strong impact on him (Fatmi, 1986). It showed him how fiction could represent society and history together. From this point onward, he consciously turned toward novel writing. In this sense, Sharar’s fiction can be understood as part of a broader intellectual response to colonial modernity. As scholars like Antonio Gramsci suggest, culture becomes a space where communities negotiate power and identity (Gramsci, 1971, p. 13). At the same time, as Gilles Deleuze argues, literature does not simply record reality; it transforms it (Deleuze, 1994, p. 79). Sharar’s work reflects both these dimensions. It responds to loss, but it also creates new </w:t>
      </w:r>
      <w:r w:rsidRPr="00AC44A9">
        <w:rPr>
          <w:rFonts w:ascii="Calibri" w:eastAsia="Calibri" w:cstheme="minorHAnsi"/>
          <w:bCs/>
          <w:color w:val="000000"/>
          <w:sz w:val="24"/>
          <w:szCs w:val="24"/>
          <w:lang w:bidi="en-US"/>
        </w:rPr>
        <w:lastRenderedPageBreak/>
        <w:t>meanings. It remembers the past, but it also reshapes it for the present. Seen in this light, his writing is not only nostalgic. It is also purposeful. It seeks to rebuild a sense of identity at a time when political structures had weakened. His fiction becomes a space where decline is narrated, but also challenged.</w:t>
      </w:r>
    </w:p>
    <w:p w14:paraId="61B92C04" w14:textId="77777777" w:rsidR="00AC44A9" w:rsidRPr="00AC44A9" w:rsidRDefault="00AC44A9" w:rsidP="00AC44A9">
      <w:pPr>
        <w:jc w:val="both"/>
        <w:rPr>
          <w:rFonts w:ascii="Calibri" w:eastAsia="Calibri" w:cstheme="minorHAnsi"/>
          <w:b/>
          <w:bCs/>
          <w:color w:val="000000"/>
          <w:sz w:val="24"/>
          <w:szCs w:val="24"/>
          <w:lang w:bidi="en-US"/>
        </w:rPr>
      </w:pPr>
      <w:r w:rsidRPr="00AC44A9">
        <w:rPr>
          <w:rFonts w:ascii="Calibri" w:eastAsia="Calibri" w:cstheme="minorHAnsi"/>
          <w:b/>
          <w:bCs/>
          <w:color w:val="000000"/>
          <w:sz w:val="24"/>
          <w:szCs w:val="24"/>
          <w:lang w:bidi="en-US"/>
        </w:rPr>
        <w:t>Muslim political decline as epistemic crisis</w:t>
      </w:r>
    </w:p>
    <w:p w14:paraId="17DA809A"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Before discussing Abdul Halim Sharar's novel writing, it is essential to understand that his literary career reached its peak between 1900 and 1924. This is the period during which his historical novels emerge in a more organized, coherent, and intellectually mature form. A chronological review of his writings from this era clearly shows a gradual shift from romantic historical fiction toward a more serious and ideological historical narrative. To understand this literary evolution, it is necessary to analyze the political and intellectual environment of India at the time. At the beginning of the twentieth century, the subcontinent was undergoing intense political, linguistic, and religious transformations. The Urdu-Hindi controversy had intertwined linguistic identity with political identity, a situation in which the British administration and various academic and political circles played a prominent role. During this time, the question of Muslim identity also began to take center stage (Syed Tufail Ahmed, 1945, pp. 77–200).</w:t>
      </w:r>
    </w:p>
    <w:p w14:paraId="3484640B"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The formation of the Muslim League in 1906, along with the political activities preceding and succeeding it, birthed a collective political consciousness among Muslims. The Morley-Minto Reforms of 1909 legally recognized Separate Electorates for the first time, further widening and defining the Hindu-Muslim political divide. The annulment of the partition of Bengal in 1911 and various subsequent political movements further complicated Indian politics. Meanwhile, the Lucknow Pact of 1916 stood as a significant attempt at Hindu-Muslim political reconciliation, where both the Muslim League and the Congress agreed upon a shared political framework (Syed Tufail Ahmed, 1945, pp. 357–380).</w:t>
      </w:r>
    </w:p>
    <w:p w14:paraId="55FEDA81"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The situation at the international level was equally volatile. The 1905 Russian Revolution, the decline of the Ottoman Empire, and the escalating imperialist rivalries in Europe eventually culminated in World War I in 1914 (Syed Tufail Ahmed, 1945). Following the war, the disintegration of the Ottoman Caliphate triggered a severe intellectual crisis in the Muslim world, which directly impacted the politics of the subcontinent. It was against this backdrop that the Khilafat Movement (1919–1924) emerged, sparking a new religious and political awakening among Indian Muslims. Prominent leaders of this movement included the scholars of Farangi Mahal, Maulana Muhammad Ali Jauhar, Maulana Shaukat Ali, and Maulana Abul Kalam Azad. During this period, religious sentiments, political resistance, and anti-imperialist consciousness appeared to seamlessly merge together. Political unrest was also mounting in Punjab, culminating tragically in the 1919 Jallianwala Bagh massacre, which provoked a fierce backlash against the British government across the entire subcontinent (Aziz, 2013, pp. 70–96).</w:t>
      </w:r>
    </w:p>
    <w:p w14:paraId="2D115EE8"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Within this intellectual and political environment, Abdul Halim Sharar’s novel writing transcends mere imagination or romance; it becomes imbued with a distinct historical consciousness. His novels seek to revive and represent Muslim history, civilization, and the glory of the past. This approach is essentially a kind of Muslim Revivalist narrative, through which he makes the past meaningful in the context of contemporary crises (Fatmi, 1986, p. 50). Thus, it can be said that Abdul Halim Sharar's literary thought is not merely an artistic evolution, but rather a profound dialogue with the political and cultural crises of his time. His fiction gives narrative form to the questions of colonialism, identity, and historical consciousness. </w:t>
      </w:r>
    </w:p>
    <w:p w14:paraId="0E72AE2B"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lastRenderedPageBreak/>
        <w:t>In Deleuzian terms, Indian Muslims were experiencing massive deterritorialization.</w:t>
      </w:r>
      <w:r w:rsidRPr="00AC44A9">
        <w:rPr>
          <w:rFonts w:ascii="Calibri" w:eastAsia="Calibri" w:cstheme="minorHAnsi"/>
          <w:bCs/>
          <w:color w:val="000000"/>
          <w:sz w:val="24"/>
          <w:szCs w:val="24"/>
          <w:vertAlign w:val="superscript"/>
          <w:lang w:bidi="en-US"/>
        </w:rPr>
        <w:footnoteReference w:id="1"/>
      </w:r>
      <w:r w:rsidRPr="00AC44A9">
        <w:rPr>
          <w:rFonts w:ascii="Calibri" w:eastAsia="Calibri" w:cstheme="minorHAnsi"/>
          <w:bCs/>
          <w:color w:val="000000"/>
          <w:sz w:val="24"/>
          <w:szCs w:val="24"/>
          <w:lang w:bidi="en-US"/>
        </w:rPr>
        <w:t xml:space="preserve"> The British empire and the fall of the Ottoman Caliphate had uprooted their traditional sense of self. The ground of established identity was shifting beneath their feet, and Sharar's fiction functioned as a machine of reterritorialization: where the political world offered no stability, he constructed a new territory in literature. His novels formed an assemblage, a complex web connecting memory, religion, and political resistance. Rather than write about the past merely to indulge nostalgia, he used it as a line of flight, a creative escape route from a suffocating colonial present. By reviving the glories of Muslim history, he offered his people a new map for their identity, and his art thus constitutes a sustained engagement with the trauma of his era. The next section explains how he sought to rebuild Muslim identity through literature.</w:t>
      </w:r>
    </w:p>
    <w:p w14:paraId="609070D3" w14:textId="77777777" w:rsidR="00AC44A9" w:rsidRPr="00AC44A9" w:rsidRDefault="00AC44A9" w:rsidP="00AC44A9">
      <w:pPr>
        <w:jc w:val="both"/>
        <w:rPr>
          <w:rFonts w:ascii="Calibri" w:eastAsia="Calibri" w:cstheme="minorHAnsi"/>
          <w:b/>
          <w:bCs/>
          <w:color w:val="000000"/>
          <w:sz w:val="24"/>
          <w:szCs w:val="24"/>
          <w:lang w:bidi="en-US"/>
        </w:rPr>
      </w:pPr>
      <w:r w:rsidRPr="00AC44A9">
        <w:rPr>
          <w:rFonts w:ascii="Calibri" w:eastAsia="Calibri" w:cstheme="minorHAnsi"/>
          <w:b/>
          <w:bCs/>
          <w:color w:val="000000"/>
          <w:sz w:val="24"/>
          <w:szCs w:val="24"/>
          <w:lang w:bidi="en-US"/>
        </w:rPr>
        <w:t>Fiction as Reform: Ethics, Heroism, Revival</w:t>
      </w:r>
    </w:p>
    <w:p w14:paraId="20453A40"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The late 1800s and early 1900s were a period of profound crisis for Muslims in the Indian subcontinent. As the British colonial empire expanded, the political power once held by Muslim elites steadily eroded. The collapse of the Mughal Empire after the uprising of 1857 was not merely a military defeat; for Indian Muslims, it constituted a deep cultural and spiritual wound. An elite that had held power for centuries suddenly found itself without direction in a rapidly changing world. With military and political avenues to power foreclosed by British rule, literature emerged as an alternative field of contestation. Writers recognized that the community's psychological survival depended on cultural and moral revival, a task to which Abdul Halim Sharar was acutely attuned. At the same time, colonial historians were producing accounts that cast colonized peoples as backward and weak, a narrative Sharar understood his community could not afford to internalize. Rather than depict the everyday struggles of ordinary people, he chose to narrate the exploits of kings and generals: his readers required not a reminder of present weakness but a recovery of past greatness. By reanimating these moments of historical glory, Sharar deployed history as a source of collective hope and dignity.</w:t>
      </w:r>
    </w:p>
    <w:p w14:paraId="1AD87CCC"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Sharar looked back at Islamic history with a romantic, idealized eye, treating the past as an instrument for advancing his people. In his novels, heroism, unshakeable faith, and strong morals converge to offer readers a practical model for rebuilding their community (Sharif Ahmed, 1989, p. 29). For Sharar, the loss of political power did not entail the loss of identity; </w:t>
      </w:r>
      <w:r w:rsidRPr="00AC44A9">
        <w:rPr>
          <w:rFonts w:ascii="Calibri" w:eastAsia="Calibri" w:cstheme="minorHAnsi"/>
          <w:bCs/>
          <w:color w:val="000000"/>
          <w:sz w:val="24"/>
          <w:szCs w:val="24"/>
          <w:lang w:bidi="en-US"/>
        </w:rPr>
        <w:lastRenderedPageBreak/>
        <w:t>rather, it required his community to reinvent itself by combining historical memory with didactic storytelling.</w:t>
      </w:r>
    </w:p>
    <w:p w14:paraId="7E3865E3"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An examination of Sharar's most productive years, between 1913 and 1925, shows how his writing shifted as the world fell into chaos. He was not writing in a vacuum but responding to a world that was rapidly unraveling. In 1913, the Balkan Wars were tearing at the edges of the Ottoman Empire; amid this turmoil, Sharar published </w:t>
      </w:r>
      <w:r w:rsidRPr="00AC44A9">
        <w:rPr>
          <w:rFonts w:ascii="Calibri" w:eastAsia="Calibri" w:cstheme="minorHAnsi"/>
          <w:bCs/>
          <w:i/>
          <w:iCs/>
          <w:color w:val="000000"/>
          <w:sz w:val="24"/>
          <w:szCs w:val="24"/>
          <w:lang w:bidi="en-US"/>
        </w:rPr>
        <w:t>Roohi</w:t>
      </w:r>
      <w:r w:rsidRPr="00AC44A9">
        <w:rPr>
          <w:rFonts w:ascii="Calibri" w:eastAsia="Calibri" w:cstheme="minorHAnsi"/>
          <w:bCs/>
          <w:color w:val="000000"/>
          <w:sz w:val="24"/>
          <w:szCs w:val="24"/>
          <w:lang w:bidi="en-US"/>
        </w:rPr>
        <w:t xml:space="preserve">, followed by </w:t>
      </w:r>
      <w:r w:rsidRPr="00AC44A9">
        <w:rPr>
          <w:rFonts w:ascii="Calibri" w:eastAsia="Calibri" w:cstheme="minorHAnsi"/>
          <w:bCs/>
          <w:i/>
          <w:iCs/>
          <w:color w:val="000000"/>
          <w:sz w:val="24"/>
          <w:szCs w:val="24"/>
          <w:lang w:bidi="en-US"/>
        </w:rPr>
        <w:t>Ghaib Daan Dulhan</w:t>
      </w:r>
      <w:r w:rsidRPr="00AC44A9">
        <w:rPr>
          <w:rFonts w:ascii="Calibri" w:eastAsia="Calibri" w:cstheme="minorHAnsi"/>
          <w:bCs/>
          <w:color w:val="000000"/>
          <w:sz w:val="24"/>
          <w:szCs w:val="24"/>
          <w:lang w:bidi="en-US"/>
        </w:rPr>
        <w:t xml:space="preserve"> in 1915 (Fatmi, 1986, pp. 100–150).  These works appeared just as the First World War ignited, a global conflict that would eventually extinguish the last illusions of Muslim global power. Amid this suffocating environment, Sharar's fiction offered readers a necessary escape, and one that strengthened them psychologically rather than merely distracting them. In 1916, he published </w:t>
      </w:r>
      <w:r w:rsidRPr="00AC44A9">
        <w:rPr>
          <w:rFonts w:ascii="Calibri" w:eastAsia="Calibri" w:cstheme="minorHAnsi"/>
          <w:bCs/>
          <w:i/>
          <w:iCs/>
          <w:color w:val="000000"/>
          <w:sz w:val="24"/>
          <w:szCs w:val="24"/>
          <w:lang w:bidi="en-US"/>
        </w:rPr>
        <w:t>Tareekh-e-Maftooh</w:t>
      </w:r>
      <w:r w:rsidRPr="00AC44A9">
        <w:rPr>
          <w:rFonts w:ascii="Calibri" w:eastAsia="Calibri" w:cstheme="minorHAnsi"/>
          <w:bCs/>
          <w:color w:val="000000"/>
          <w:sz w:val="24"/>
          <w:szCs w:val="24"/>
          <w:lang w:bidi="en-US"/>
        </w:rPr>
        <w:t xml:space="preserve"> (Fatmi, 1986). At this same moment, European powers were secretly redrawing the map of the Middle East. Sharar used history as a shield, seeking to protect his people's historical identity from erasure by colonial rule.</w:t>
      </w:r>
    </w:p>
    <w:p w14:paraId="54A9B61E"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As the war worsened and the Ottoman Caliphate faced total destruction, Sharar began writing lengthy, multi-volume novels, recognizing that a traumatized public needed long, immersive stories capable of sustaining fragmented attention. In 1917, he released the first parts of </w:t>
      </w:r>
      <w:r w:rsidRPr="00AC44A9">
        <w:rPr>
          <w:rFonts w:ascii="Calibri" w:eastAsia="Calibri" w:cstheme="minorHAnsi"/>
          <w:bCs/>
          <w:i/>
          <w:iCs/>
          <w:color w:val="000000"/>
          <w:sz w:val="24"/>
          <w:szCs w:val="24"/>
          <w:lang w:bidi="en-US"/>
        </w:rPr>
        <w:t>Babak Khurrami</w:t>
      </w:r>
      <w:r w:rsidRPr="00AC44A9">
        <w:rPr>
          <w:rFonts w:ascii="Calibri" w:eastAsia="Calibri" w:cstheme="minorHAnsi"/>
          <w:bCs/>
          <w:color w:val="000000"/>
          <w:sz w:val="24"/>
          <w:szCs w:val="24"/>
          <w:lang w:bidi="en-US"/>
        </w:rPr>
        <w:t xml:space="preserve"> and </w:t>
      </w:r>
      <w:r w:rsidRPr="00AC44A9">
        <w:rPr>
          <w:rFonts w:ascii="Calibri" w:eastAsia="Calibri" w:cstheme="minorHAnsi"/>
          <w:bCs/>
          <w:i/>
          <w:iCs/>
          <w:color w:val="000000"/>
          <w:sz w:val="24"/>
          <w:szCs w:val="24"/>
          <w:lang w:bidi="en-US"/>
        </w:rPr>
        <w:t>Jauya-e-Haq</w:t>
      </w:r>
      <w:r w:rsidRPr="00AC44A9">
        <w:rPr>
          <w:rFonts w:ascii="Calibri" w:eastAsia="Calibri" w:cstheme="minorHAnsi"/>
          <w:bCs/>
          <w:color w:val="000000"/>
          <w:sz w:val="24"/>
          <w:szCs w:val="24"/>
          <w:lang w:bidi="en-US"/>
        </w:rPr>
        <w:t xml:space="preserve"> (The Seeker of Truth), which he continued to publish through 1919 (Fatmi, 1986). </w:t>
      </w:r>
      <w:r w:rsidRPr="00AC44A9">
        <w:rPr>
          <w:rFonts w:ascii="Calibri" w:eastAsia="Calibri" w:cstheme="minorHAnsi"/>
          <w:bCs/>
          <w:i/>
          <w:iCs/>
          <w:color w:val="000000"/>
          <w:sz w:val="24"/>
          <w:szCs w:val="24"/>
          <w:lang w:bidi="en-US"/>
        </w:rPr>
        <w:t>Babak Khurrami</w:t>
      </w:r>
      <w:r w:rsidRPr="00AC44A9">
        <w:rPr>
          <w:rFonts w:ascii="Calibri" w:eastAsia="Calibri" w:cstheme="minorHAnsi"/>
          <w:bCs/>
          <w:color w:val="000000"/>
          <w:sz w:val="24"/>
          <w:szCs w:val="24"/>
          <w:lang w:bidi="en-US"/>
        </w:rPr>
        <w:t xml:space="preserve"> dealt with internal rebellions during the ancient Abbasid period. This served as a historical mirror reflecting the internal divisions among Indian Muslims at the time. Meanwhile, </w:t>
      </w:r>
      <w:r w:rsidRPr="00AC44A9">
        <w:rPr>
          <w:rFonts w:ascii="Calibri" w:eastAsia="Calibri" w:cstheme="minorHAnsi"/>
          <w:bCs/>
          <w:i/>
          <w:iCs/>
          <w:color w:val="000000"/>
          <w:sz w:val="24"/>
          <w:szCs w:val="24"/>
          <w:lang w:bidi="en-US"/>
        </w:rPr>
        <w:t>Jauya-e-Haq</w:t>
      </w:r>
      <w:r w:rsidRPr="00AC44A9">
        <w:rPr>
          <w:rFonts w:ascii="Calibri" w:eastAsia="Calibri" w:cstheme="minorHAnsi"/>
          <w:bCs/>
          <w:color w:val="000000"/>
          <w:sz w:val="24"/>
          <w:szCs w:val="24"/>
          <w:lang w:bidi="en-US"/>
        </w:rPr>
        <w:t xml:space="preserve"> showed a shift in his thinking. The title itself suggests a move away from martial conflict toward a deeper philosophical and religious search, one that closely matched the religious and political awakening then underway in India during the Khilafat Movement. Sharar was signaling to his readers that physical bravery was of little use without intellectual clarity and spiritual conviction. At the same time, he expanded the geographic scope of his stories to foster a sense of global unity. In 1919, he published </w:t>
      </w:r>
      <w:r w:rsidRPr="00AC44A9">
        <w:rPr>
          <w:rFonts w:ascii="Calibri" w:eastAsia="Calibri" w:cstheme="minorHAnsi"/>
          <w:bCs/>
          <w:i/>
          <w:iCs/>
          <w:color w:val="000000"/>
          <w:sz w:val="24"/>
          <w:szCs w:val="24"/>
          <w:lang w:bidi="en-US"/>
        </w:rPr>
        <w:t>Labat-e-Cheen</w:t>
      </w:r>
      <w:r w:rsidRPr="00AC44A9">
        <w:rPr>
          <w:rFonts w:ascii="Calibri" w:eastAsia="Calibri" w:cstheme="minorHAnsi"/>
          <w:bCs/>
          <w:color w:val="000000"/>
          <w:sz w:val="24"/>
          <w:szCs w:val="24"/>
          <w:lang w:bidi="en-US"/>
        </w:rPr>
        <w:t xml:space="preserve">, looking toward the East (Fatmi, 1986). In 1920, he wrote </w:t>
      </w:r>
      <w:r w:rsidRPr="00AC44A9">
        <w:rPr>
          <w:rFonts w:ascii="Calibri" w:eastAsia="Calibri" w:cstheme="minorHAnsi"/>
          <w:bCs/>
          <w:i/>
          <w:iCs/>
          <w:color w:val="000000"/>
          <w:sz w:val="24"/>
          <w:szCs w:val="24"/>
          <w:lang w:bidi="en-US"/>
        </w:rPr>
        <w:t>Aziza-e-Misr</w:t>
      </w:r>
      <w:r w:rsidRPr="00AC44A9">
        <w:rPr>
          <w:rFonts w:ascii="Calibri" w:eastAsia="Calibri" w:cstheme="minorHAnsi"/>
          <w:bCs/>
          <w:color w:val="000000"/>
          <w:sz w:val="24"/>
          <w:szCs w:val="24"/>
          <w:lang w:bidi="en-US"/>
        </w:rPr>
        <w:t>, taking his readers to the rich history of Egypt (Fatmi, 1986). By taking his readers out of colonized India and placing them within the wider Muslim world, he allowed them to imagine themselves as powerful, independent actors on the global stage.</w:t>
      </w:r>
    </w:p>
    <w:p w14:paraId="0DBC7218"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In 1923, Sharar made a very interesting shift. He published </w:t>
      </w:r>
      <w:r w:rsidRPr="00AC44A9">
        <w:rPr>
          <w:rFonts w:ascii="Calibri" w:eastAsia="Calibri" w:cstheme="minorHAnsi"/>
          <w:bCs/>
          <w:i/>
          <w:iCs/>
          <w:color w:val="000000"/>
          <w:sz w:val="24"/>
          <w:szCs w:val="24"/>
          <w:lang w:bidi="en-US"/>
        </w:rPr>
        <w:t>Tahirah</w:t>
      </w:r>
      <w:r w:rsidRPr="00AC44A9">
        <w:rPr>
          <w:rFonts w:ascii="Calibri" w:eastAsia="Calibri" w:cstheme="minorHAnsi"/>
          <w:bCs/>
          <w:color w:val="000000"/>
          <w:sz w:val="24"/>
          <w:szCs w:val="24"/>
          <w:lang w:bidi="en-US"/>
        </w:rPr>
        <w:t>, which was explicitly called a “domestic novel” (Sharar, 1965). After years of writing about distant battlefields, crusades, and grand kings, he turned his attention entirely to the everyday Muslim household, a shift that reflected a deepening maturity in his reformist agenda. He recognized that grand historical revivals could not succeed without strong moral foundations within the home, and the shift also addressed the absence of female perspectives in his earlier epic tales. He acknowledged that the preservation of culture, identity, and faith occurred largely within the domestic sphere, under women's guidance; true heroism, in this view, lay not only in fighting a foreign war but in living an honest, moral life day to day.</w:t>
      </w:r>
    </w:p>
    <w:p w14:paraId="1171CA5A"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He continued this focus on home life with </w:t>
      </w:r>
      <w:r w:rsidRPr="00AC44A9">
        <w:rPr>
          <w:rFonts w:ascii="Calibri" w:eastAsia="Calibri" w:cstheme="minorHAnsi"/>
          <w:bCs/>
          <w:i/>
          <w:iCs/>
          <w:color w:val="000000"/>
          <w:sz w:val="24"/>
          <w:szCs w:val="24"/>
          <w:lang w:bidi="en-US"/>
        </w:rPr>
        <w:t>Neki Ka Phal</w:t>
      </w:r>
      <w:r w:rsidRPr="00AC44A9">
        <w:rPr>
          <w:rFonts w:ascii="Calibri" w:eastAsia="Calibri" w:cstheme="minorHAnsi"/>
          <w:bCs/>
          <w:color w:val="000000"/>
          <w:sz w:val="24"/>
          <w:szCs w:val="24"/>
          <w:lang w:bidi="en-US"/>
        </w:rPr>
        <w:t xml:space="preserve"> in 1924 and </w:t>
      </w:r>
      <w:r w:rsidRPr="00AC44A9">
        <w:rPr>
          <w:rFonts w:ascii="Calibri" w:eastAsia="Calibri" w:cstheme="minorHAnsi"/>
          <w:bCs/>
          <w:i/>
          <w:iCs/>
          <w:color w:val="000000"/>
          <w:sz w:val="24"/>
          <w:szCs w:val="24"/>
          <w:lang w:bidi="en-US"/>
        </w:rPr>
        <w:t>Meena Bazar</w:t>
      </w:r>
      <w:r w:rsidRPr="00AC44A9">
        <w:rPr>
          <w:rFonts w:ascii="Calibri" w:eastAsia="Calibri" w:cstheme="minorHAnsi"/>
          <w:bCs/>
          <w:color w:val="000000"/>
          <w:sz w:val="24"/>
          <w:szCs w:val="24"/>
          <w:lang w:bidi="en-US"/>
        </w:rPr>
        <w:t xml:space="preserve"> in 1925 (Naqoosh, 1955, pp. 49–60). These later books brought all his ideas together. He tried to combine the beautiful, highly refined cultural legacy of places like Awadh with the strict, uncompromising discipline of early Islamic history.  Sharar's vision nonetheless had its limits: he focused primarily on the elite classes, selected only those parts of history that fit his affirmative message, and adopted a worldview that was heavily male-centered. Even so, by blending historical fact with imagination, he created a durable and emotionally powerful memory for his community, one that helped it look past a humiliating colonial present. His work suggests that the loss of political power need not entail the loss of spiritual or cultural identity.</w:t>
      </w:r>
    </w:p>
    <w:p w14:paraId="556CAB0C"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lastRenderedPageBreak/>
        <w:t xml:space="preserve">Sharar brought the past to life, using engaging romances and dramatic plots to forge an emotional connection with his readers. These stories functioned as more than entertainment; they served as instructive tools through which Sharar modeled the ideal Muslim as brave, deeply religious, and highly disciplined. Heroes like Sultan </w:t>
      </w:r>
      <w:r w:rsidRPr="00AC44A9">
        <w:rPr>
          <w:rFonts w:ascii="Calibri" w:eastAsia="Calibri" w:cstheme="minorHAnsi"/>
          <w:bCs/>
          <w:i/>
          <w:iCs/>
          <w:color w:val="000000"/>
          <w:sz w:val="24"/>
          <w:szCs w:val="24"/>
          <w:lang w:bidi="en-US"/>
        </w:rPr>
        <w:t>Salahuddin Ayyubi</w:t>
      </w:r>
      <w:r w:rsidRPr="00AC44A9">
        <w:rPr>
          <w:rFonts w:ascii="Calibri" w:eastAsia="Calibri" w:cstheme="minorHAnsi"/>
          <w:bCs/>
          <w:color w:val="000000"/>
          <w:sz w:val="24"/>
          <w:szCs w:val="24"/>
          <w:lang w:bidi="en-US"/>
        </w:rPr>
        <w:t xml:space="preserve"> served as perfect role models, giving a defeated people a clear guide to reclaiming their honor. Sharar also used his stories to correct the flaws within his own society. For instance, in </w:t>
      </w:r>
      <w:r w:rsidRPr="00AC44A9">
        <w:rPr>
          <w:rFonts w:ascii="Calibri" w:eastAsia="Calibri" w:cstheme="minorHAnsi"/>
          <w:bCs/>
          <w:i/>
          <w:iCs/>
          <w:color w:val="000000"/>
          <w:sz w:val="24"/>
          <w:szCs w:val="24"/>
          <w:lang w:bidi="en-US"/>
        </w:rPr>
        <w:t>Firdaus-e-Bareen</w:t>
      </w:r>
      <w:r w:rsidRPr="00AC44A9">
        <w:rPr>
          <w:rFonts w:ascii="Calibri" w:eastAsia="Calibri" w:cstheme="minorHAnsi"/>
          <w:bCs/>
          <w:color w:val="000000"/>
          <w:sz w:val="24"/>
          <w:szCs w:val="24"/>
          <w:lang w:bidi="en-US"/>
        </w:rPr>
        <w:t xml:space="preserve">, he fiercely attacked blind faith and religious exploitation, while in </w:t>
      </w:r>
      <w:r w:rsidRPr="00AC44A9">
        <w:rPr>
          <w:rFonts w:ascii="Calibri" w:eastAsia="Calibri" w:cstheme="minorHAnsi"/>
          <w:bCs/>
          <w:i/>
          <w:iCs/>
          <w:color w:val="000000"/>
          <w:sz w:val="24"/>
          <w:szCs w:val="24"/>
          <w:lang w:bidi="en-US"/>
        </w:rPr>
        <w:t>Ayyam-e-Arab</w:t>
      </w:r>
      <w:r w:rsidRPr="00AC44A9">
        <w:rPr>
          <w:rFonts w:ascii="Calibri" w:eastAsia="Calibri" w:cstheme="minorHAnsi"/>
          <w:bCs/>
          <w:color w:val="000000"/>
          <w:sz w:val="24"/>
          <w:szCs w:val="24"/>
          <w:lang w:bidi="en-US"/>
        </w:rPr>
        <w:t>, he warned against the ignorance of tribal fighting.</w:t>
      </w:r>
    </w:p>
    <w:p w14:paraId="44EAC8B8"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To reinforce this message, Sharar employed vivid and emotionally charged language, frequently comparing invading armies such as the Crusaders or Mongols to unstoppable storms and floods, a figure that captured the suffocating experience of living under British colonial rule (Fatmi, 1986, pp. 100–150). On the other hand, moments of Islamic victory were described as a breaking dawn or a piercing light, symbolizing hope and intellectual awakening. He described his heroes as lions and unyielding mountains, projecting a strong, unapologetic masculinity intended to counter his community's sense of defeat, while characterizing internal division and corrupt leadership as a "disease" spreading through a healthy body.</w:t>
      </w:r>
    </w:p>
    <w:p w14:paraId="7E23211E"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Beyond his choice of words, Sharar's characters functioned as symbols of the real-world struggles of his time. Sultan Salahuddin Ayyubi was not merely a figure in a story but a symbol of the lost Muslim power mourned after the Mughal Empire's fall. In </w:t>
      </w:r>
      <w:r w:rsidRPr="00AC44A9">
        <w:rPr>
          <w:rFonts w:ascii="Calibri" w:eastAsia="Calibri" w:cstheme="minorHAnsi"/>
          <w:bCs/>
          <w:i/>
          <w:iCs/>
          <w:color w:val="000000"/>
          <w:sz w:val="24"/>
          <w:szCs w:val="24"/>
          <w:lang w:bidi="en-US"/>
        </w:rPr>
        <w:t>Firdaus-e-Bareen</w:t>
      </w:r>
      <w:r w:rsidRPr="00AC44A9">
        <w:rPr>
          <w:rFonts w:ascii="Calibri" w:eastAsia="Calibri" w:cstheme="minorHAnsi"/>
          <w:bCs/>
          <w:color w:val="000000"/>
          <w:sz w:val="24"/>
          <w:szCs w:val="24"/>
          <w:lang w:bidi="en-US"/>
        </w:rPr>
        <w:t>, the villain Sheikh Wujoodi represented the corrupt, manipulative religious leaders of Sharar’s own era. The main character, Hussain, stood for the naive, colonized youth. Hussain's eventual awakening from his brainwashed state and his subsequent resistance represent the political awakening Sharar sought for the younger generation. The love plots carried similar symbolic weight: when European or Christian characters fell in love with noble Muslim heroes, the union symbolized an intellectual and moral victory over the West, offering readers under British rule a source of comfort and satisfaction.</w:t>
      </w:r>
    </w:p>
    <w:p w14:paraId="24BA79C8"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The sheer volume of Sharar's output reflects the urgency with which he approached his mission; he wrote so prolifically that historians continue to dispute the exact number of novels he produced. Early historians such as Thomas Grahame Bailey claimed Sharar wrote thirty novels (Fatmi, 1986; Bailey, 1932, p. 95). Other critics argue he wrote thirty-five, forty-two, or even up to sixty. A closer examination of the original sources shows, however, that the higher figures mistakenly include serialized plays, biographies, and unfinished drafts. This discrepancy is more than a minor bibliographic detail: it indicates that Sharar was working in the midst of an unfolding crisis, publishing continuously in his immensely popular journal, </w:t>
      </w:r>
      <w:r w:rsidRPr="00AC44A9">
        <w:rPr>
          <w:rFonts w:ascii="Calibri" w:eastAsia="Calibri" w:cstheme="minorHAnsi"/>
          <w:bCs/>
          <w:i/>
          <w:iCs/>
          <w:color w:val="000000"/>
          <w:sz w:val="24"/>
          <w:szCs w:val="24"/>
          <w:lang w:bidi="en-US"/>
        </w:rPr>
        <w:t>Dilgudaz</w:t>
      </w:r>
      <w:r w:rsidRPr="00AC44A9">
        <w:rPr>
          <w:rFonts w:ascii="Calibri" w:eastAsia="Calibri" w:cstheme="minorHAnsi"/>
          <w:bCs/>
          <w:color w:val="000000"/>
          <w:sz w:val="24"/>
          <w:szCs w:val="24"/>
          <w:lang w:bidi="en-US"/>
        </w:rPr>
        <w:t>. In effect, he was drafting a new identity for his people month by month (Fatmi, 1986). The boundaries between his historical essays, translated stories, and original novels remained blurred, as he prioritized the rapid dissemination of moral lessons over the maintenance of neat, organized records.</w:t>
      </w:r>
    </w:p>
    <w:p w14:paraId="20DEA721"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Sharar's method of using fiction to engineer social reform aligns with the ideas of major theorists of narrative and history. The Marxist critic Georg Lukács, in his study </w:t>
      </w:r>
      <w:r w:rsidRPr="00AC44A9">
        <w:rPr>
          <w:rFonts w:ascii="Calibri" w:eastAsia="Calibri" w:cstheme="minorHAnsi"/>
          <w:bCs/>
          <w:i/>
          <w:iCs/>
          <w:color w:val="000000"/>
          <w:sz w:val="24"/>
          <w:szCs w:val="24"/>
          <w:lang w:bidi="en-US"/>
        </w:rPr>
        <w:t>the Historical Novel</w:t>
      </w:r>
      <w:r w:rsidRPr="00AC44A9">
        <w:rPr>
          <w:rFonts w:ascii="Calibri" w:eastAsia="Calibri" w:cstheme="minorHAnsi"/>
          <w:bCs/>
          <w:color w:val="000000"/>
          <w:sz w:val="24"/>
          <w:szCs w:val="24"/>
          <w:lang w:bidi="en-US"/>
        </w:rPr>
        <w:t xml:space="preserve">, argued that this genre is born during times of massive social change (Lukács, 1983, pp. 19–25). In periods of crisis, communities look to the past to make sense of present struggles; just as the French Revolution gave rise to historical fiction in Europe, the decline of Muslim power in India gave rise to Sharar's writing. Sharar was also engaged in what historian Hayden </w:t>
      </w:r>
      <w:r w:rsidRPr="00AC44A9">
        <w:rPr>
          <w:rFonts w:ascii="Calibri" w:eastAsia="Calibri" w:cstheme="minorHAnsi"/>
          <w:bCs/>
          <w:color w:val="000000"/>
          <w:sz w:val="24"/>
          <w:szCs w:val="24"/>
          <w:lang w:bidi="en-US"/>
        </w:rPr>
        <w:lastRenderedPageBreak/>
        <w:t>White calls "emplotment."</w:t>
      </w:r>
      <w:r w:rsidRPr="00AC44A9">
        <w:rPr>
          <w:rFonts w:ascii="Calibri" w:eastAsia="Calibri" w:cstheme="minorHAnsi"/>
          <w:bCs/>
          <w:color w:val="000000"/>
          <w:sz w:val="24"/>
          <w:szCs w:val="24"/>
          <w:vertAlign w:val="superscript"/>
          <w:lang w:bidi="en-US"/>
        </w:rPr>
        <w:footnoteReference w:id="2"/>
      </w:r>
      <w:r w:rsidRPr="00AC44A9">
        <w:rPr>
          <w:rFonts w:ascii="Calibri" w:eastAsia="Calibri" w:cstheme="minorHAnsi"/>
          <w:bCs/>
          <w:color w:val="000000"/>
          <w:sz w:val="24"/>
          <w:szCs w:val="24"/>
          <w:lang w:bidi="en-US"/>
        </w:rPr>
        <w:t xml:space="preserve"> White argued that history is not just a neutral list of facts; it is a narrative shaped by the writer’s goals. British colonial historiography emplotted Indian Muslim history as a story of continuous decay and weakness; Sharar used his novels to rewrite that same history as an epic tale of bravery, purity, and greatness, rescuing it from colonial writers to furnish his people with a psychological shield.</w:t>
      </w:r>
    </w:p>
    <w:p w14:paraId="18BE5CAE"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An examination of the publication dates of his novels undermines the persistent claim that Sharar simply imitated European writers. Some Urdu critics have argued that Sharar only conceived of the historical romance after reading Sir Walter Scott's </w:t>
      </w:r>
      <w:r w:rsidRPr="00AC44A9">
        <w:rPr>
          <w:rFonts w:ascii="Calibri" w:eastAsia="Calibri" w:cstheme="minorHAnsi"/>
          <w:bCs/>
          <w:i/>
          <w:iCs/>
          <w:color w:val="000000"/>
          <w:sz w:val="24"/>
          <w:szCs w:val="24"/>
          <w:lang w:bidi="en-US"/>
        </w:rPr>
        <w:t>The Talisman</w:t>
      </w:r>
      <w:r w:rsidRPr="00AC44A9">
        <w:rPr>
          <w:rFonts w:ascii="Calibri" w:eastAsia="Calibri" w:cstheme="minorHAnsi"/>
          <w:bCs/>
          <w:color w:val="000000"/>
          <w:sz w:val="24"/>
          <w:szCs w:val="24"/>
          <w:lang w:bidi="en-US"/>
        </w:rPr>
        <w:t xml:space="preserve"> during an extended trip to England between 1889 and 1896 (Fatmi, 1986, p. 120). The chronology contradicts this claim: Sharar published his foundational historical novel, </w:t>
      </w:r>
      <w:r w:rsidRPr="00AC44A9">
        <w:rPr>
          <w:rFonts w:ascii="Calibri" w:eastAsia="Calibri" w:cstheme="minorHAnsi"/>
          <w:bCs/>
          <w:i/>
          <w:iCs/>
          <w:color w:val="000000"/>
          <w:sz w:val="24"/>
          <w:szCs w:val="24"/>
          <w:lang w:bidi="en-US"/>
        </w:rPr>
        <w:t>Malik-ul-Aziz Varjana</w:t>
      </w:r>
      <w:r w:rsidRPr="00AC44A9">
        <w:rPr>
          <w:rFonts w:ascii="Calibri" w:eastAsia="Calibri" w:cstheme="minorHAnsi"/>
          <w:bCs/>
          <w:color w:val="000000"/>
          <w:sz w:val="24"/>
          <w:szCs w:val="24"/>
          <w:lang w:bidi="en-US"/>
        </w:rPr>
        <w:t xml:space="preserve">, in 1888- a full year before he ever set foot in Europe. While he did engage with English literature later, his drive to write historical fiction was an entirely organic response to the trauma of India. He did not need to visit London to recognize that his people needed a restorative myth; the trauma of post-1857 India was sufficient. He quickly followed up with </w:t>
      </w:r>
      <w:r w:rsidRPr="00AC44A9">
        <w:rPr>
          <w:rFonts w:ascii="Calibri" w:eastAsia="Calibri" w:cstheme="minorHAnsi"/>
          <w:bCs/>
          <w:i/>
          <w:iCs/>
          <w:color w:val="000000"/>
          <w:sz w:val="24"/>
          <w:szCs w:val="24"/>
          <w:lang w:bidi="en-US"/>
        </w:rPr>
        <w:t>Hasan Angelina</w:t>
      </w:r>
      <w:r w:rsidRPr="00AC44A9">
        <w:rPr>
          <w:rFonts w:ascii="Calibri" w:eastAsia="Calibri" w:cstheme="minorHAnsi"/>
          <w:bCs/>
          <w:color w:val="000000"/>
          <w:sz w:val="24"/>
          <w:szCs w:val="24"/>
          <w:lang w:bidi="en-US"/>
        </w:rPr>
        <w:t xml:space="preserve"> in 1889 and </w:t>
      </w:r>
      <w:r w:rsidRPr="00AC44A9">
        <w:rPr>
          <w:rFonts w:ascii="Calibri" w:eastAsia="Calibri" w:cstheme="minorHAnsi"/>
          <w:bCs/>
          <w:i/>
          <w:iCs/>
          <w:color w:val="000000"/>
          <w:sz w:val="24"/>
          <w:szCs w:val="24"/>
          <w:lang w:bidi="en-US"/>
        </w:rPr>
        <w:t>Mansur-Mohana</w:t>
      </w:r>
      <w:r w:rsidRPr="00AC44A9">
        <w:rPr>
          <w:rFonts w:ascii="Calibri" w:eastAsia="Calibri" w:cstheme="minorHAnsi"/>
          <w:bCs/>
          <w:color w:val="000000"/>
          <w:sz w:val="24"/>
          <w:szCs w:val="24"/>
          <w:lang w:bidi="en-US"/>
        </w:rPr>
        <w:t xml:space="preserve"> in 1890, proving his narrative style was fully formed before he was exposed to Western literary circles. Sharar drew on whatever resources served his purpose, translating foreign stories where they conveyed moral clarity and inventing new ones where he wished to explore Islamic history. To judge him by modern, rigid standards of "original authorship" is to miss the point: he was constructing a vast, interconnected body of stories designed to accomplish one overriding aim—the intellectual and spiritual resurrection of a defeated people.</w:t>
      </w:r>
    </w:p>
    <w:p w14:paraId="59F641D2"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Ultimately, Abdul Halim Sharar used his writing to help his people heal and rebuild their collective identity. In works like </w:t>
      </w:r>
      <w:r w:rsidRPr="00AC44A9">
        <w:rPr>
          <w:rFonts w:ascii="Calibri" w:eastAsia="Calibri" w:cstheme="minorHAnsi"/>
          <w:bCs/>
          <w:i/>
          <w:iCs/>
          <w:color w:val="000000"/>
          <w:sz w:val="24"/>
          <w:szCs w:val="24"/>
          <w:lang w:bidi="en-US"/>
        </w:rPr>
        <w:t>Guzishta Lucknow</w:t>
      </w:r>
      <w:r w:rsidRPr="00AC44A9">
        <w:rPr>
          <w:rFonts w:ascii="Calibri" w:eastAsia="Calibri" w:cstheme="minorHAnsi"/>
          <w:bCs/>
          <w:color w:val="000000"/>
          <w:sz w:val="24"/>
          <w:szCs w:val="24"/>
          <w:lang w:bidi="en-US"/>
        </w:rPr>
        <w:t xml:space="preserve">, he carefully recorded the beautiful but lost culture of the wealthy elite. Through his historical novels, he taught strong moral lessons. His main goal was to show what the ideal Muslim should look like: brave, religious, and highly disciplined. The heroes in his stories were practical role models meant to help the community rise again, which fit perfectly with the social reform movements of his time. His work was not without limitations: it focused primarily on the upper classes, largely omitted women's voices, and selected only the parts of history that suited his message. Yet by combining historical fact with creative storytelling, he gave his struggling community a powerful emotional connection to its past. He left a lasting mark on Urdu literature and Muslim identity by demonstrating that the loss of political power need not entail the loss of culture or spirit. Through this fusion of </w:t>
      </w:r>
      <w:r w:rsidRPr="00AC44A9">
        <w:rPr>
          <w:rFonts w:ascii="Calibri" w:eastAsia="Calibri" w:cstheme="minorHAnsi"/>
          <w:bCs/>
          <w:color w:val="000000"/>
          <w:sz w:val="24"/>
          <w:szCs w:val="24"/>
          <w:lang w:bidi="en-US"/>
        </w:rPr>
        <w:lastRenderedPageBreak/>
        <w:t>history and fiction, Sharar equipped a defeated people with the tools they needed to survive, recover, and reinvent themselves.</w:t>
      </w:r>
    </w:p>
    <w:p w14:paraId="5748017C"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The reception of Abdul Halim Sharar and his novels within society during the colonial period is somewhat difficult to determine directly because there are neither sufficient measurable variables available nor many explicit contemporary references that fully document readers’ responses to his works. Above all, certain indirect indicators help us understand his popularity and influence. For instance, his literary magazine, </w:t>
      </w:r>
      <w:r w:rsidRPr="00AC44A9">
        <w:rPr>
          <w:rFonts w:ascii="Calibri" w:eastAsia="Calibri" w:cstheme="minorHAnsi"/>
          <w:bCs/>
          <w:i/>
          <w:iCs/>
          <w:color w:val="000000"/>
          <w:sz w:val="24"/>
          <w:szCs w:val="24"/>
          <w:lang w:bidi="en-US"/>
        </w:rPr>
        <w:t>Dilgudaz</w:t>
      </w:r>
      <w:r w:rsidRPr="00AC44A9">
        <w:rPr>
          <w:rFonts w:ascii="Calibri" w:eastAsia="Calibri" w:cstheme="minorHAnsi"/>
          <w:bCs/>
          <w:color w:val="000000"/>
          <w:sz w:val="24"/>
          <w:szCs w:val="24"/>
          <w:lang w:bidi="en-US"/>
        </w:rPr>
        <w:t>, enjoyed wide circulation and considerable public reception. This itself reflects the extent of his intellectual and literary impact during colonial India. Furthermore, as Ali Ahmad Fatmi points out, Sharar was himself influenced by the works of Ratan Nath Sarshar, an influence that drew him into novel writing. One useful basis, then, for evaluating the reception and significance of his work is to examine his influence on later historical fiction.</w:t>
      </w:r>
      <w:r w:rsidRPr="00AC44A9">
        <w:rPr>
          <w:rFonts w:ascii="Calibri" w:eastAsia="Calibri" w:cstheme="minorHAnsi"/>
          <w:bCs/>
          <w:color w:val="000000"/>
          <w:sz w:val="24"/>
          <w:szCs w:val="24"/>
          <w:vertAlign w:val="superscript"/>
          <w:lang w:bidi="en-US"/>
        </w:rPr>
        <w:footnoteReference w:id="3"/>
      </w:r>
      <w:r w:rsidRPr="00AC44A9">
        <w:rPr>
          <w:rFonts w:ascii="Calibri" w:eastAsia="Calibri" w:cstheme="minorHAnsi"/>
          <w:bCs/>
          <w:color w:val="000000"/>
          <w:sz w:val="24"/>
          <w:szCs w:val="24"/>
          <w:lang w:bidi="en-US"/>
        </w:rPr>
        <w:t xml:space="preserve"> The wide circulation of </w:t>
      </w:r>
      <w:r w:rsidRPr="00AC44A9">
        <w:rPr>
          <w:rFonts w:ascii="Calibri" w:eastAsia="Calibri" w:cstheme="minorHAnsi"/>
          <w:bCs/>
          <w:i/>
          <w:iCs/>
          <w:color w:val="000000"/>
          <w:sz w:val="24"/>
          <w:szCs w:val="24"/>
          <w:lang w:bidi="en-US"/>
        </w:rPr>
        <w:t>Dil Gudaz</w:t>
      </w:r>
      <w:r w:rsidRPr="00AC44A9">
        <w:rPr>
          <w:rFonts w:ascii="Calibri" w:eastAsia="Calibri" w:cstheme="minorHAnsi"/>
          <w:bCs/>
          <w:color w:val="000000"/>
          <w:sz w:val="24"/>
          <w:szCs w:val="24"/>
          <w:lang w:bidi="en-US"/>
        </w:rPr>
        <w:t xml:space="preserve">, suggests that it enjoyed significant reception within society. On this basis, it can be argued that Sharar’s writings were actively engaging readers and shaping literary consciousness during the colonial period. By deploying the ideas of Robert Darnton and Pierre Bourdieu further strengthens this argument. </w:t>
      </w:r>
    </w:p>
    <w:p w14:paraId="006DD6FB"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Moreover, the many writers who drew inspiration from him further attest to his strong reception and influence within both literary and social spheres. Writers such as Naseem Hijazi, Inayatullah, and M. Aslam continued and expanded the tradition of historical novel writing that Sharar established, carrying forward many of the themes, narrative structures, and cultural concerns he had introduced into Urdu literature. Their novels can thus be viewed as branches of the same literary tree, rooted in Sharar's narrative style, historical imagination, and cultural concerns. The fact that later writers adopted and developed this tradition indicates that Sharar's works had become widely recognized among readers and literary circles, and that his writings shaped the intellectual imagination and historical consciousness of Muslim readers well beyond his own lifetime.</w:t>
      </w:r>
    </w:p>
    <w:p w14:paraId="10DD0200"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Secondly, in the words of Pierre Bourdieu, one of the ways to understand the mastery and significance of a literary or classical work is to examine its metaphors, symbols, and linguistic structures, because these elements point toward the conditions and anxieties of a specific historical age (Bourdieu, 1993, pp. 50–100). Through such literary expressions, the hidden forces of history and society become visible. In this context, the metaphors, vocabulary, and symbolic language employed by Sharar continued to reappear in later historical novelists such as Naseem Hijazi and Inayatullah. The continuation of these literary patterns itself reflects the social and intellectual impact of Sharar’s work. In Bourdieusian terms, this continuity becomes evidence of literary mastery and cultural authority. Therefore, it can be argued that Sharar’s reception was exceptionally strong, which explains why his books remain widely known even today. More importantly, within Muslim intellectual thought, his writings are often remembered not merely as literary texts but also as symbols of cultural memory, identity, and resistance. </w:t>
      </w:r>
    </w:p>
    <w:p w14:paraId="09A270ED" w14:textId="77777777" w:rsidR="00AC44A9" w:rsidRPr="00AC44A9" w:rsidRDefault="00AC44A9" w:rsidP="00AC44A9">
      <w:pPr>
        <w:jc w:val="both"/>
        <w:rPr>
          <w:rFonts w:ascii="Calibri" w:eastAsia="Calibri" w:cstheme="minorHAnsi"/>
          <w:b/>
          <w:bCs/>
          <w:color w:val="000000"/>
          <w:sz w:val="24"/>
          <w:szCs w:val="24"/>
          <w:lang w:bidi="en-US"/>
        </w:rPr>
      </w:pPr>
      <w:r w:rsidRPr="00AC44A9">
        <w:rPr>
          <w:rFonts w:ascii="Calibri" w:eastAsia="Calibri" w:cstheme="minorHAnsi"/>
          <w:b/>
          <w:bCs/>
          <w:color w:val="000000"/>
          <w:sz w:val="24"/>
          <w:szCs w:val="24"/>
          <w:lang w:bidi="en-US"/>
        </w:rPr>
        <w:t>Conclusion</w:t>
      </w:r>
    </w:p>
    <w:p w14:paraId="37D2F88C"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lastRenderedPageBreak/>
        <w:t xml:space="preserve">In times of crisis, when a community loses its political power, ruling authorities often silence its voices and erase its agency. When the political world forecloses any avenue for expression, fiction steps in to rebuild what politics has destroyed. This is the power of narrativizing politics (Jameson, 1981, pp. 19–20). Because Indian Muslims under British rule could not fight physical wars or pass their own laws, writers like Abdul Halim Sharar moved the political battlefield onto the pages of novels. By writing about ancient kings, wars, and empires, he was actively discussing the political realities of his own time. Fiction provided a safe, unstoppable way to protest, allowing a defeated people to express their desire for dignity and leadership when politics forced them to be silent. </w:t>
      </w:r>
    </w:p>
    <w:p w14:paraId="3395D6C8"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To achieve this, Sharar forged a distinctive hybrid of history and fiction. He understood that a dry historical account could not heal a wounded community, and that a simple fairy tale could not offer serious moral guidance; instead, he combined the factual weight of Islamic history with the emotional pull of romance and adventure. This hybrid approach served two distinct purposes: it was an act of recovery, rescuing the glorious past from erasure or mockery by colonial historians, and a tool for reinvention, using those stories to teach modern Muslims how to be brave, pious, and disciplined once again. Ali Anooshahr makes a comparable argument in the context of early modern slavery, showing that literature could be mobilized for similar purposes (Anooshahr, 2025, pp. 1–8). Nevertheless, empires may fall and lands may be conquered, but the core of a community can endure if it is preserved within its art. By furnishing his people with a powerful emotional memory, Sharar transformed the novel into a kind of fortress, demonstrating that even a community stripped entirely of its political voice can preserve and reinvent its identity through the enduring power of the imagination.</w:t>
      </w:r>
    </w:p>
    <w:p w14:paraId="165D9691" w14:textId="77777777" w:rsidR="00AC44A9" w:rsidRPr="00AC44A9" w:rsidRDefault="00AC44A9" w:rsidP="00AC44A9">
      <w:pPr>
        <w:jc w:val="both"/>
        <w:rPr>
          <w:rFonts w:ascii="Calibri" w:eastAsia="Calibri" w:cstheme="minorHAnsi"/>
          <w:b/>
          <w:bCs/>
          <w:color w:val="000000"/>
          <w:sz w:val="24"/>
          <w:szCs w:val="24"/>
          <w:lang w:bidi="en-US"/>
        </w:rPr>
      </w:pPr>
      <w:r w:rsidRPr="00AC44A9">
        <w:rPr>
          <w:rFonts w:ascii="Calibri" w:eastAsia="Calibri" w:cstheme="minorHAnsi"/>
          <w:b/>
          <w:bCs/>
          <w:color w:val="000000"/>
          <w:sz w:val="24"/>
          <w:szCs w:val="24"/>
          <w:lang w:bidi="en-US"/>
        </w:rPr>
        <w:t>References</w:t>
      </w:r>
    </w:p>
    <w:p w14:paraId="1F65FF56"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Ahmed, Safdar. (2012). Literary romanticism and Islamic modernity: The case of Urdu poetry. </w:t>
      </w:r>
      <w:r w:rsidRPr="00AC44A9">
        <w:rPr>
          <w:rFonts w:ascii="Calibri" w:eastAsia="Calibri" w:cstheme="minorHAnsi"/>
          <w:bCs/>
          <w:i/>
          <w:iCs/>
          <w:color w:val="000000"/>
          <w:sz w:val="24"/>
          <w:szCs w:val="24"/>
          <w:lang w:bidi="en-US"/>
        </w:rPr>
        <w:t>South Asia: Journal of South Asian Studies</w:t>
      </w:r>
      <w:r w:rsidRPr="00AC44A9">
        <w:rPr>
          <w:rFonts w:ascii="Calibri" w:eastAsia="Calibri" w:cstheme="minorHAnsi"/>
          <w:bCs/>
          <w:color w:val="000000"/>
          <w:sz w:val="24"/>
          <w:szCs w:val="24"/>
          <w:lang w:bidi="en-US"/>
        </w:rPr>
        <w:t xml:space="preserve">, </w:t>
      </w:r>
      <w:r w:rsidRPr="00AC44A9">
        <w:rPr>
          <w:rFonts w:ascii="Calibri" w:eastAsia="Calibri" w:cstheme="minorHAnsi"/>
          <w:bCs/>
          <w:i/>
          <w:iCs/>
          <w:color w:val="000000"/>
          <w:sz w:val="24"/>
          <w:szCs w:val="24"/>
          <w:lang w:bidi="en-US"/>
        </w:rPr>
        <w:t>35</w:t>
      </w:r>
      <w:r w:rsidRPr="00AC44A9">
        <w:rPr>
          <w:rFonts w:ascii="Calibri" w:eastAsia="Calibri" w:cstheme="minorHAnsi"/>
          <w:bCs/>
          <w:color w:val="000000"/>
          <w:sz w:val="24"/>
          <w:szCs w:val="24"/>
          <w:lang w:bidi="en-US"/>
        </w:rPr>
        <w:t>(2), 434–455. https://doi.org/10.1080/00856401.2011.633300</w:t>
      </w:r>
    </w:p>
    <w:p w14:paraId="270144BC"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Ahmed, Sharif. (1989). </w:t>
      </w:r>
      <w:r w:rsidRPr="00AC44A9">
        <w:rPr>
          <w:rFonts w:ascii="Calibri" w:eastAsia="Calibri" w:cstheme="minorHAnsi"/>
          <w:bCs/>
          <w:i/>
          <w:iCs/>
          <w:color w:val="000000"/>
          <w:sz w:val="24"/>
          <w:szCs w:val="24"/>
          <w:lang w:bidi="en-US"/>
        </w:rPr>
        <w:t>Abdul Halim Sharar: Shakhsiyat aur funn</w:t>
      </w:r>
      <w:r w:rsidRPr="00AC44A9">
        <w:rPr>
          <w:rFonts w:ascii="Calibri" w:eastAsia="Calibri" w:cstheme="minorHAnsi"/>
          <w:bCs/>
          <w:color w:val="000000"/>
          <w:sz w:val="24"/>
          <w:szCs w:val="24"/>
          <w:lang w:bidi="en-US"/>
        </w:rPr>
        <w:t>. Gohar Publishers.</w:t>
      </w:r>
    </w:p>
    <w:p w14:paraId="76B6A680"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Ahmed, Syed Tufail. (1945). </w:t>
      </w:r>
      <w:r w:rsidRPr="00AC44A9">
        <w:rPr>
          <w:rFonts w:ascii="Calibri" w:eastAsia="Calibri" w:cstheme="minorHAnsi"/>
          <w:bCs/>
          <w:i/>
          <w:iCs/>
          <w:color w:val="000000"/>
          <w:sz w:val="24"/>
          <w:szCs w:val="24"/>
          <w:lang w:bidi="en-US"/>
        </w:rPr>
        <w:t>Musalmanoon ka roshan mustaqbil</w:t>
      </w:r>
      <w:r w:rsidRPr="00AC44A9">
        <w:rPr>
          <w:rFonts w:ascii="Calibri" w:eastAsia="Calibri" w:cstheme="minorHAnsi"/>
          <w:bCs/>
          <w:color w:val="000000"/>
          <w:sz w:val="24"/>
          <w:szCs w:val="24"/>
          <w:lang w:bidi="en-US"/>
        </w:rPr>
        <w:t>. Hamad al-Katbi.</w:t>
      </w:r>
    </w:p>
    <w:p w14:paraId="581E8445"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Alavi, S. (2015). </w:t>
      </w:r>
      <w:r w:rsidRPr="00AC44A9">
        <w:rPr>
          <w:rFonts w:ascii="Calibri" w:eastAsia="Calibri" w:cstheme="minorHAnsi"/>
          <w:bCs/>
          <w:i/>
          <w:iCs/>
          <w:color w:val="000000"/>
          <w:sz w:val="24"/>
          <w:szCs w:val="24"/>
          <w:lang w:bidi="en-US"/>
        </w:rPr>
        <w:t>Muslim cosmopolitanism in the age of empire</w:t>
      </w:r>
      <w:r w:rsidRPr="00AC44A9">
        <w:rPr>
          <w:rFonts w:ascii="Calibri" w:eastAsia="Calibri" w:cstheme="minorHAnsi"/>
          <w:bCs/>
          <w:color w:val="000000"/>
          <w:sz w:val="24"/>
          <w:szCs w:val="24"/>
          <w:lang w:bidi="en-US"/>
        </w:rPr>
        <w:t>. Harvard University Press.</w:t>
      </w:r>
    </w:p>
    <w:p w14:paraId="25C52A01"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Anooshahr, A. (2025). </w:t>
      </w:r>
      <w:r w:rsidRPr="00AC44A9">
        <w:rPr>
          <w:rFonts w:ascii="Calibri" w:eastAsia="Calibri" w:cstheme="minorHAnsi"/>
          <w:bCs/>
          <w:i/>
          <w:iCs/>
          <w:color w:val="000000"/>
          <w:sz w:val="24"/>
          <w:szCs w:val="24"/>
          <w:lang w:bidi="en-US"/>
        </w:rPr>
        <w:t>Slavery in the early Mughal world: The life and thoughts of Jawhar Aftabachi (1520s–1580s)</w:t>
      </w:r>
      <w:r w:rsidRPr="00AC44A9">
        <w:rPr>
          <w:rFonts w:ascii="Calibri" w:eastAsia="Calibri" w:cstheme="minorHAnsi"/>
          <w:bCs/>
          <w:color w:val="000000"/>
          <w:sz w:val="24"/>
          <w:szCs w:val="24"/>
          <w:lang w:bidi="en-US"/>
        </w:rPr>
        <w:t>. Oxford University Press.</w:t>
      </w:r>
    </w:p>
    <w:p w14:paraId="17E92129"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Aziz, K. K. (2013). </w:t>
      </w:r>
      <w:r w:rsidRPr="00AC44A9">
        <w:rPr>
          <w:rFonts w:ascii="Calibri" w:eastAsia="Calibri" w:cstheme="minorHAnsi"/>
          <w:bCs/>
          <w:i/>
          <w:iCs/>
          <w:color w:val="000000"/>
          <w:sz w:val="24"/>
          <w:szCs w:val="24"/>
          <w:lang w:bidi="en-US"/>
        </w:rPr>
        <w:t>The making of Pakistan</w:t>
      </w:r>
      <w:r w:rsidRPr="00AC44A9">
        <w:rPr>
          <w:rFonts w:ascii="Calibri" w:eastAsia="Calibri" w:cstheme="minorHAnsi"/>
          <w:bCs/>
          <w:color w:val="000000"/>
          <w:sz w:val="24"/>
          <w:szCs w:val="24"/>
          <w:lang w:bidi="en-US"/>
        </w:rPr>
        <w:t>. Sang-e-Meel Publications.</w:t>
      </w:r>
    </w:p>
    <w:p w14:paraId="65A9EF98"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Bailey, T. G. (1932). </w:t>
      </w:r>
      <w:r w:rsidRPr="00AC44A9">
        <w:rPr>
          <w:rFonts w:ascii="Calibri" w:eastAsia="Calibri" w:cstheme="minorHAnsi"/>
          <w:bCs/>
          <w:i/>
          <w:iCs/>
          <w:color w:val="000000"/>
          <w:sz w:val="24"/>
          <w:szCs w:val="24"/>
          <w:lang w:bidi="en-US"/>
        </w:rPr>
        <w:t>A history of Urdu literature</w:t>
      </w:r>
      <w:r w:rsidRPr="00AC44A9">
        <w:rPr>
          <w:rFonts w:ascii="Calibri" w:eastAsia="Calibri" w:cstheme="minorHAnsi"/>
          <w:bCs/>
          <w:color w:val="000000"/>
          <w:sz w:val="24"/>
          <w:szCs w:val="24"/>
          <w:lang w:bidi="en-US"/>
        </w:rPr>
        <w:t>. Oxford University Press.</w:t>
      </w:r>
    </w:p>
    <w:p w14:paraId="435981EB"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Bose, N. (2014). </w:t>
      </w:r>
      <w:r w:rsidRPr="00AC44A9">
        <w:rPr>
          <w:rFonts w:ascii="Calibri" w:eastAsia="Calibri" w:cstheme="minorHAnsi"/>
          <w:bCs/>
          <w:i/>
          <w:iCs/>
          <w:color w:val="000000"/>
          <w:sz w:val="24"/>
          <w:szCs w:val="24"/>
          <w:lang w:bidi="en-US"/>
        </w:rPr>
        <w:t>Recasting the region: Language, culture, and Islam in colonial Bengal</w:t>
      </w:r>
      <w:r w:rsidRPr="00AC44A9">
        <w:rPr>
          <w:rFonts w:ascii="Calibri" w:eastAsia="Calibri" w:cstheme="minorHAnsi"/>
          <w:bCs/>
          <w:color w:val="000000"/>
          <w:sz w:val="24"/>
          <w:szCs w:val="24"/>
          <w:lang w:bidi="en-US"/>
        </w:rPr>
        <w:t>. Oxford University Press.</w:t>
      </w:r>
    </w:p>
    <w:p w14:paraId="5BD9FD32"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Bourdieu, P. (1993). </w:t>
      </w:r>
      <w:r w:rsidRPr="00AC44A9">
        <w:rPr>
          <w:rFonts w:ascii="Calibri" w:eastAsia="Calibri" w:cstheme="minorHAnsi"/>
          <w:bCs/>
          <w:i/>
          <w:iCs/>
          <w:color w:val="000000"/>
          <w:sz w:val="24"/>
          <w:szCs w:val="24"/>
          <w:lang w:bidi="en-US"/>
        </w:rPr>
        <w:t>The field of cultural production: Essays on art and literature</w:t>
      </w:r>
      <w:r w:rsidRPr="00AC44A9">
        <w:rPr>
          <w:rFonts w:ascii="Calibri" w:eastAsia="Calibri" w:cstheme="minorHAnsi"/>
          <w:bCs/>
          <w:color w:val="000000"/>
          <w:sz w:val="24"/>
          <w:szCs w:val="24"/>
          <w:lang w:bidi="en-US"/>
        </w:rPr>
        <w:t xml:space="preserve"> (R. Johnson, Ed.). Columbia University Press.</w:t>
      </w:r>
    </w:p>
    <w:p w14:paraId="54D3456C"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Darnton, R. (1984). </w:t>
      </w:r>
      <w:r w:rsidRPr="00AC44A9">
        <w:rPr>
          <w:rFonts w:ascii="Calibri" w:eastAsia="Calibri" w:cstheme="minorHAnsi"/>
          <w:bCs/>
          <w:i/>
          <w:iCs/>
          <w:color w:val="000000"/>
          <w:sz w:val="24"/>
          <w:szCs w:val="24"/>
          <w:lang w:bidi="en-US"/>
        </w:rPr>
        <w:t>The great cat massacre and other episodes in French cultural history</w:t>
      </w:r>
      <w:r w:rsidRPr="00AC44A9">
        <w:rPr>
          <w:rFonts w:ascii="Calibri" w:eastAsia="Calibri" w:cstheme="minorHAnsi"/>
          <w:bCs/>
          <w:color w:val="000000"/>
          <w:sz w:val="24"/>
          <w:szCs w:val="24"/>
          <w:lang w:bidi="en-US"/>
        </w:rPr>
        <w:t>. Basic Books.</w:t>
      </w:r>
    </w:p>
    <w:p w14:paraId="481B2D68"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Deleuze, G. (1994). </w:t>
      </w:r>
      <w:r w:rsidRPr="00AC44A9">
        <w:rPr>
          <w:rFonts w:ascii="Calibri" w:eastAsia="Calibri" w:cstheme="minorHAnsi"/>
          <w:bCs/>
          <w:i/>
          <w:iCs/>
          <w:color w:val="000000"/>
          <w:sz w:val="24"/>
          <w:szCs w:val="24"/>
          <w:lang w:bidi="en-US"/>
        </w:rPr>
        <w:t>Difference and repetition</w:t>
      </w:r>
      <w:r w:rsidRPr="00AC44A9">
        <w:rPr>
          <w:rFonts w:ascii="Calibri" w:eastAsia="Calibri" w:cstheme="minorHAnsi"/>
          <w:bCs/>
          <w:color w:val="000000"/>
          <w:sz w:val="24"/>
          <w:szCs w:val="24"/>
          <w:lang w:bidi="en-US"/>
        </w:rPr>
        <w:t xml:space="preserve"> (P. Patton, Trans.). Columbia University Press.</w:t>
      </w:r>
    </w:p>
    <w:p w14:paraId="55A9BB35"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Deleuze, G., &amp; Guattari, F. (1987). </w:t>
      </w:r>
      <w:r w:rsidRPr="00AC44A9">
        <w:rPr>
          <w:rFonts w:ascii="Calibri" w:eastAsia="Calibri" w:cstheme="minorHAnsi"/>
          <w:bCs/>
          <w:i/>
          <w:iCs/>
          <w:color w:val="000000"/>
          <w:sz w:val="24"/>
          <w:szCs w:val="24"/>
          <w:lang w:bidi="en-US"/>
        </w:rPr>
        <w:t>A thousand plateaus: Capitalism and schizophrenia</w:t>
      </w:r>
      <w:r w:rsidRPr="00AC44A9">
        <w:rPr>
          <w:rFonts w:ascii="Calibri" w:eastAsia="Calibri" w:cstheme="minorHAnsi"/>
          <w:bCs/>
          <w:color w:val="000000"/>
          <w:sz w:val="24"/>
          <w:szCs w:val="24"/>
          <w:lang w:bidi="en-US"/>
        </w:rPr>
        <w:t xml:space="preserve"> (B. Massumi, Trans.). University of Minnesota Press.</w:t>
      </w:r>
    </w:p>
    <w:p w14:paraId="6B7FC495"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Fatmi, A. A. (1986). </w:t>
      </w:r>
      <w:r w:rsidRPr="00AC44A9">
        <w:rPr>
          <w:rFonts w:ascii="Calibri" w:eastAsia="Calibri" w:cstheme="minorHAnsi"/>
          <w:bCs/>
          <w:i/>
          <w:iCs/>
          <w:color w:val="000000"/>
          <w:sz w:val="24"/>
          <w:szCs w:val="24"/>
          <w:lang w:bidi="en-US"/>
        </w:rPr>
        <w:t>Abdul Halim Sharar bahaisiyat novel nigar</w:t>
      </w:r>
      <w:r w:rsidRPr="00AC44A9">
        <w:rPr>
          <w:rFonts w:ascii="Calibri" w:eastAsia="Calibri" w:cstheme="minorHAnsi"/>
          <w:bCs/>
          <w:color w:val="000000"/>
          <w:sz w:val="24"/>
          <w:szCs w:val="24"/>
          <w:lang w:bidi="en-US"/>
        </w:rPr>
        <w:t>. Nusrat Publications.</w:t>
      </w:r>
    </w:p>
    <w:p w14:paraId="1FA56A4A"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Ghosh, U. (2017). </w:t>
      </w:r>
      <w:r w:rsidRPr="00AC44A9">
        <w:rPr>
          <w:rFonts w:ascii="Calibri" w:eastAsia="Calibri" w:cstheme="minorHAnsi"/>
          <w:bCs/>
          <w:i/>
          <w:iCs/>
          <w:color w:val="000000"/>
          <w:sz w:val="24"/>
          <w:szCs w:val="24"/>
          <w:lang w:bidi="en-US"/>
        </w:rPr>
        <w:t>Gentlemanly terrorists: Political violence and the colonial state in India, 1919–1947</w:t>
      </w:r>
      <w:r w:rsidRPr="00AC44A9">
        <w:rPr>
          <w:rFonts w:ascii="Calibri" w:eastAsia="Calibri" w:cstheme="minorHAnsi"/>
          <w:bCs/>
          <w:color w:val="000000"/>
          <w:sz w:val="24"/>
          <w:szCs w:val="24"/>
          <w:lang w:bidi="en-US"/>
        </w:rPr>
        <w:t>. Cambridge University Press.</w:t>
      </w:r>
    </w:p>
    <w:p w14:paraId="27EB4A90"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Gopal, P. (2019). </w:t>
      </w:r>
      <w:r w:rsidRPr="00AC44A9">
        <w:rPr>
          <w:rFonts w:ascii="Calibri" w:eastAsia="Calibri" w:cstheme="minorHAnsi"/>
          <w:bCs/>
          <w:i/>
          <w:iCs/>
          <w:color w:val="000000"/>
          <w:sz w:val="24"/>
          <w:szCs w:val="24"/>
          <w:lang w:bidi="en-US"/>
        </w:rPr>
        <w:t>Insurgent empire: Anticolonial resistance and British dissent</w:t>
      </w:r>
      <w:r w:rsidRPr="00AC44A9">
        <w:rPr>
          <w:rFonts w:ascii="Calibri" w:eastAsia="Calibri" w:cstheme="minorHAnsi"/>
          <w:bCs/>
          <w:color w:val="000000"/>
          <w:sz w:val="24"/>
          <w:szCs w:val="24"/>
          <w:lang w:bidi="en-US"/>
        </w:rPr>
        <w:t>. Verso.</w:t>
      </w:r>
    </w:p>
    <w:p w14:paraId="08983A34"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lastRenderedPageBreak/>
        <w:t xml:space="preserve">Gramsci, A. (1971). </w:t>
      </w:r>
      <w:r w:rsidRPr="00AC44A9">
        <w:rPr>
          <w:rFonts w:ascii="Calibri" w:eastAsia="Calibri" w:cstheme="minorHAnsi"/>
          <w:bCs/>
          <w:i/>
          <w:iCs/>
          <w:color w:val="000000"/>
          <w:sz w:val="24"/>
          <w:szCs w:val="24"/>
          <w:lang w:bidi="en-US"/>
        </w:rPr>
        <w:t>Selections from the prison notebooks</w:t>
      </w:r>
      <w:r w:rsidRPr="00AC44A9">
        <w:rPr>
          <w:rFonts w:ascii="Calibri" w:eastAsia="Calibri" w:cstheme="minorHAnsi"/>
          <w:bCs/>
          <w:color w:val="000000"/>
          <w:sz w:val="24"/>
          <w:szCs w:val="24"/>
          <w:lang w:bidi="en-US"/>
        </w:rPr>
        <w:t xml:space="preserve"> (Q. Hoare &amp; G. N. Smith, Eds. &amp; Trans.). International Publishers.</w:t>
      </w:r>
    </w:p>
    <w:p w14:paraId="52FD7FBB"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Hanscom, C. P. (2013). </w:t>
      </w:r>
      <w:r w:rsidRPr="00AC44A9">
        <w:rPr>
          <w:rFonts w:ascii="Calibri" w:eastAsia="Calibri" w:cstheme="minorHAnsi"/>
          <w:bCs/>
          <w:i/>
          <w:iCs/>
          <w:color w:val="000000"/>
          <w:sz w:val="24"/>
          <w:szCs w:val="24"/>
          <w:lang w:bidi="en-US"/>
        </w:rPr>
        <w:t>The real modern: Literary modernism and the crisis of representation in colonial Korea</w:t>
      </w:r>
      <w:r w:rsidRPr="00AC44A9">
        <w:rPr>
          <w:rFonts w:ascii="Calibri" w:eastAsia="Calibri" w:cstheme="minorHAnsi"/>
          <w:bCs/>
          <w:color w:val="000000"/>
          <w:sz w:val="24"/>
          <w:szCs w:val="24"/>
          <w:lang w:bidi="en-US"/>
        </w:rPr>
        <w:t>. Harvard University Asia Center.</w:t>
      </w:r>
    </w:p>
    <w:p w14:paraId="621A1487"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Jameson, F. (1981). </w:t>
      </w:r>
      <w:r w:rsidRPr="00AC44A9">
        <w:rPr>
          <w:rFonts w:ascii="Calibri" w:eastAsia="Calibri" w:cstheme="minorHAnsi"/>
          <w:bCs/>
          <w:i/>
          <w:iCs/>
          <w:color w:val="000000"/>
          <w:sz w:val="24"/>
          <w:szCs w:val="24"/>
          <w:lang w:bidi="en-US"/>
        </w:rPr>
        <w:t>The political unconscious: Narrative as a socially symbolic act</w:t>
      </w:r>
      <w:r w:rsidRPr="00AC44A9">
        <w:rPr>
          <w:rFonts w:ascii="Calibri" w:eastAsia="Calibri" w:cstheme="minorHAnsi"/>
          <w:bCs/>
          <w:color w:val="000000"/>
          <w:sz w:val="24"/>
          <w:szCs w:val="24"/>
          <w:lang w:bidi="en-US"/>
        </w:rPr>
        <w:t>. Cornell University Press.</w:t>
      </w:r>
    </w:p>
    <w:p w14:paraId="1D9278F4"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Khan, R. H. (2024). Internal colonisation, national liberation and cultural resistance: A postcolonial reading of pre-Bangladesh Bangla poetry of resistance. </w:t>
      </w:r>
      <w:r w:rsidRPr="00AC44A9">
        <w:rPr>
          <w:rFonts w:ascii="Calibri" w:eastAsia="Calibri" w:cstheme="minorHAnsi"/>
          <w:bCs/>
          <w:i/>
          <w:iCs/>
          <w:color w:val="000000"/>
          <w:sz w:val="24"/>
          <w:szCs w:val="24"/>
          <w:lang w:bidi="en-US"/>
        </w:rPr>
        <w:t>South Asia: Journal of South Asian Studies</w:t>
      </w:r>
      <w:r w:rsidRPr="00AC44A9">
        <w:rPr>
          <w:rFonts w:ascii="Calibri" w:eastAsia="Calibri" w:cstheme="minorHAnsi"/>
          <w:bCs/>
          <w:color w:val="000000"/>
          <w:sz w:val="24"/>
          <w:szCs w:val="24"/>
          <w:lang w:bidi="en-US"/>
        </w:rPr>
        <w:t xml:space="preserve">, </w:t>
      </w:r>
      <w:r w:rsidRPr="00AC44A9">
        <w:rPr>
          <w:rFonts w:ascii="Calibri" w:eastAsia="Calibri" w:cstheme="minorHAnsi"/>
          <w:bCs/>
          <w:i/>
          <w:iCs/>
          <w:color w:val="000000"/>
          <w:sz w:val="24"/>
          <w:szCs w:val="24"/>
          <w:lang w:bidi="en-US"/>
        </w:rPr>
        <w:t>47</w:t>
      </w:r>
      <w:r w:rsidRPr="00AC44A9">
        <w:rPr>
          <w:rFonts w:ascii="Calibri" w:eastAsia="Calibri" w:cstheme="minorHAnsi"/>
          <w:bCs/>
          <w:color w:val="000000"/>
          <w:sz w:val="24"/>
          <w:szCs w:val="24"/>
          <w:lang w:bidi="en-US"/>
        </w:rPr>
        <w:t>(6), 1206–1223. https://doi.org/10.1080/00856401.2024.2452713</w:t>
      </w:r>
    </w:p>
    <w:p w14:paraId="1736F06D"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Komal, B. (2002). Twentieth century Urdu novel. </w:t>
      </w:r>
      <w:r w:rsidRPr="00AC44A9">
        <w:rPr>
          <w:rFonts w:ascii="Calibri" w:eastAsia="Calibri" w:cstheme="minorHAnsi"/>
          <w:bCs/>
          <w:i/>
          <w:iCs/>
          <w:color w:val="000000"/>
          <w:sz w:val="24"/>
          <w:szCs w:val="24"/>
          <w:lang w:bidi="en-US"/>
        </w:rPr>
        <w:t>Indian Literature</w:t>
      </w:r>
      <w:r w:rsidRPr="00AC44A9">
        <w:rPr>
          <w:rFonts w:ascii="Calibri" w:eastAsia="Calibri" w:cstheme="minorHAnsi"/>
          <w:bCs/>
          <w:color w:val="000000"/>
          <w:sz w:val="24"/>
          <w:szCs w:val="24"/>
          <w:lang w:bidi="en-US"/>
        </w:rPr>
        <w:t xml:space="preserve">, </w:t>
      </w:r>
      <w:r w:rsidRPr="00AC44A9">
        <w:rPr>
          <w:rFonts w:ascii="Calibri" w:eastAsia="Calibri" w:cstheme="minorHAnsi"/>
          <w:bCs/>
          <w:i/>
          <w:iCs/>
          <w:color w:val="000000"/>
          <w:sz w:val="24"/>
          <w:szCs w:val="24"/>
          <w:lang w:bidi="en-US"/>
        </w:rPr>
        <w:t>46</w:t>
      </w:r>
      <w:r w:rsidRPr="00AC44A9">
        <w:rPr>
          <w:rFonts w:ascii="Calibri" w:eastAsia="Calibri" w:cstheme="minorHAnsi"/>
          <w:bCs/>
          <w:color w:val="000000"/>
          <w:sz w:val="24"/>
          <w:szCs w:val="24"/>
          <w:lang w:bidi="en-US"/>
        </w:rPr>
        <w:t>(2), 157–167.</w:t>
      </w:r>
    </w:p>
    <w:p w14:paraId="31B23986"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Lukács, G. (1983). </w:t>
      </w:r>
      <w:r w:rsidRPr="00AC44A9">
        <w:rPr>
          <w:rFonts w:ascii="Calibri" w:eastAsia="Calibri" w:cstheme="minorHAnsi"/>
          <w:bCs/>
          <w:i/>
          <w:iCs/>
          <w:color w:val="000000"/>
          <w:sz w:val="24"/>
          <w:szCs w:val="24"/>
          <w:lang w:bidi="en-US"/>
        </w:rPr>
        <w:t>The historical novel</w:t>
      </w:r>
      <w:r w:rsidRPr="00AC44A9">
        <w:rPr>
          <w:rFonts w:ascii="Calibri" w:eastAsia="Calibri" w:cstheme="minorHAnsi"/>
          <w:bCs/>
          <w:color w:val="000000"/>
          <w:sz w:val="24"/>
          <w:szCs w:val="24"/>
          <w:lang w:bidi="en-US"/>
        </w:rPr>
        <w:t xml:space="preserve"> (H. Mitchell &amp; S. Mitchell, Trans.). University of Nebraska Press.</w:t>
      </w:r>
    </w:p>
    <w:p w14:paraId="1D559ECD"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i/>
          <w:iCs/>
          <w:color w:val="000000"/>
          <w:sz w:val="24"/>
          <w:szCs w:val="24"/>
          <w:lang w:bidi="en-US"/>
        </w:rPr>
        <w:t>Naqoosh</w:t>
      </w:r>
      <w:r w:rsidRPr="00AC44A9">
        <w:rPr>
          <w:rFonts w:ascii="Calibri" w:eastAsia="Calibri" w:cstheme="minorHAnsi"/>
          <w:bCs/>
          <w:color w:val="000000"/>
          <w:sz w:val="24"/>
          <w:szCs w:val="24"/>
          <w:lang w:bidi="en-US"/>
        </w:rPr>
        <w:t>. (1955, January). Shakhsiyat number (Issues 47–48), pp. 49–60.</w:t>
      </w:r>
    </w:p>
    <w:p w14:paraId="78B9DF22"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Nguyen, V. T. (2016). </w:t>
      </w:r>
      <w:r w:rsidRPr="00AC44A9">
        <w:rPr>
          <w:rFonts w:ascii="Calibri" w:eastAsia="Calibri" w:cstheme="minorHAnsi"/>
          <w:bCs/>
          <w:i/>
          <w:iCs/>
          <w:color w:val="000000"/>
          <w:sz w:val="24"/>
          <w:szCs w:val="24"/>
          <w:lang w:bidi="en-US"/>
        </w:rPr>
        <w:t>Nothing ever dies: Vietnam and the memory of war</w:t>
      </w:r>
      <w:r w:rsidRPr="00AC44A9">
        <w:rPr>
          <w:rFonts w:ascii="Calibri" w:eastAsia="Calibri" w:cstheme="minorHAnsi"/>
          <w:bCs/>
          <w:color w:val="000000"/>
          <w:sz w:val="24"/>
          <w:szCs w:val="24"/>
          <w:lang w:bidi="en-US"/>
        </w:rPr>
        <w:t>. Harvard University Press.</w:t>
      </w:r>
    </w:p>
    <w:p w14:paraId="0DB21231"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Oesterheld, C. (2016). Changing landscapes of love and passion in the Urdu novel. </w:t>
      </w:r>
      <w:r w:rsidRPr="00AC44A9">
        <w:rPr>
          <w:rFonts w:ascii="Calibri" w:eastAsia="Calibri" w:cstheme="minorHAnsi"/>
          <w:bCs/>
          <w:i/>
          <w:iCs/>
          <w:color w:val="000000"/>
          <w:sz w:val="24"/>
          <w:szCs w:val="24"/>
          <w:lang w:bidi="en-US"/>
        </w:rPr>
        <w:t>Contributions to the History of Concepts</w:t>
      </w:r>
      <w:r w:rsidRPr="00AC44A9">
        <w:rPr>
          <w:rFonts w:ascii="Calibri" w:eastAsia="Calibri" w:cstheme="minorHAnsi"/>
          <w:bCs/>
          <w:color w:val="000000"/>
          <w:sz w:val="24"/>
          <w:szCs w:val="24"/>
          <w:lang w:bidi="en-US"/>
        </w:rPr>
        <w:t xml:space="preserve">, </w:t>
      </w:r>
      <w:r w:rsidRPr="00AC44A9">
        <w:rPr>
          <w:rFonts w:ascii="Calibri" w:eastAsia="Calibri" w:cstheme="minorHAnsi"/>
          <w:bCs/>
          <w:i/>
          <w:iCs/>
          <w:color w:val="000000"/>
          <w:sz w:val="24"/>
          <w:szCs w:val="24"/>
          <w:lang w:bidi="en-US"/>
        </w:rPr>
        <w:t>11</w:t>
      </w:r>
      <w:r w:rsidRPr="00AC44A9">
        <w:rPr>
          <w:rFonts w:ascii="Calibri" w:eastAsia="Calibri" w:cstheme="minorHAnsi"/>
          <w:bCs/>
          <w:color w:val="000000"/>
          <w:sz w:val="24"/>
          <w:szCs w:val="24"/>
          <w:lang w:bidi="en-US"/>
        </w:rPr>
        <w:t>(1), 58–80.</w:t>
      </w:r>
    </w:p>
    <w:p w14:paraId="03709894"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Sharar, A. H. (1965, October). Shahifa.</w:t>
      </w:r>
    </w:p>
    <w:p w14:paraId="119A10C7"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Wan, M. B. (2020). </w:t>
      </w:r>
      <w:r w:rsidRPr="00AC44A9">
        <w:rPr>
          <w:rFonts w:ascii="Calibri" w:eastAsia="Calibri" w:cstheme="minorHAnsi"/>
          <w:bCs/>
          <w:i/>
          <w:iCs/>
          <w:color w:val="000000"/>
          <w:sz w:val="24"/>
          <w:szCs w:val="24"/>
          <w:lang w:bidi="en-US"/>
        </w:rPr>
        <w:t>Regional literature and the transmission of culture: Chinese drum ballads, 1800–1937</w:t>
      </w:r>
      <w:r w:rsidRPr="00AC44A9">
        <w:rPr>
          <w:rFonts w:ascii="Calibri" w:eastAsia="Calibri" w:cstheme="minorHAnsi"/>
          <w:bCs/>
          <w:color w:val="000000"/>
          <w:sz w:val="24"/>
          <w:szCs w:val="24"/>
          <w:lang w:bidi="en-US"/>
        </w:rPr>
        <w:t>. Harvard University Asia Center.</w:t>
      </w:r>
    </w:p>
    <w:p w14:paraId="5E825FCF"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White, H. (1973). </w:t>
      </w:r>
      <w:r w:rsidRPr="00AC44A9">
        <w:rPr>
          <w:rFonts w:ascii="Calibri" w:eastAsia="Calibri" w:cstheme="minorHAnsi"/>
          <w:bCs/>
          <w:i/>
          <w:iCs/>
          <w:color w:val="000000"/>
          <w:sz w:val="24"/>
          <w:szCs w:val="24"/>
          <w:lang w:bidi="en-US"/>
        </w:rPr>
        <w:t>Metahistory: The historical imagination in nineteenth-century Europe</w:t>
      </w:r>
      <w:r w:rsidRPr="00AC44A9">
        <w:rPr>
          <w:rFonts w:ascii="Calibri" w:eastAsia="Calibri" w:cstheme="minorHAnsi"/>
          <w:bCs/>
          <w:color w:val="000000"/>
          <w:sz w:val="24"/>
          <w:szCs w:val="24"/>
          <w:lang w:bidi="en-US"/>
        </w:rPr>
        <w:t>. Johns Hopkins University Press.</w:t>
      </w:r>
    </w:p>
    <w:p w14:paraId="4AA266E9" w14:textId="77777777" w:rsidR="00AC44A9" w:rsidRPr="00AC44A9" w:rsidRDefault="00AC44A9" w:rsidP="00AC44A9">
      <w:pPr>
        <w:jc w:val="both"/>
        <w:rPr>
          <w:rFonts w:ascii="Calibri" w:eastAsia="Calibri" w:cstheme="minorHAnsi"/>
          <w:bCs/>
          <w:color w:val="000000"/>
          <w:sz w:val="24"/>
          <w:szCs w:val="24"/>
          <w:lang w:bidi="en-US"/>
        </w:rPr>
      </w:pPr>
      <w:r w:rsidRPr="00AC44A9">
        <w:rPr>
          <w:rFonts w:ascii="Calibri" w:eastAsia="Calibri" w:cstheme="minorHAnsi"/>
          <w:bCs/>
          <w:color w:val="000000"/>
          <w:sz w:val="24"/>
          <w:szCs w:val="24"/>
          <w:lang w:bidi="en-US"/>
        </w:rPr>
        <w:t xml:space="preserve">Xie, M. Q. (2023). </w:t>
      </w:r>
      <w:r w:rsidRPr="00AC44A9">
        <w:rPr>
          <w:rFonts w:ascii="Calibri" w:eastAsia="Calibri" w:cstheme="minorHAnsi"/>
          <w:bCs/>
          <w:i/>
          <w:iCs/>
          <w:color w:val="000000"/>
          <w:sz w:val="24"/>
          <w:szCs w:val="24"/>
          <w:lang w:bidi="en-US"/>
        </w:rPr>
        <w:t>Territorializing Manchuria: The transnational frontier and literatures of East Asia</w:t>
      </w:r>
      <w:r w:rsidRPr="00AC44A9">
        <w:rPr>
          <w:rFonts w:ascii="Calibri" w:eastAsia="Calibri" w:cstheme="minorHAnsi"/>
          <w:bCs/>
          <w:color w:val="000000"/>
          <w:sz w:val="24"/>
          <w:szCs w:val="24"/>
          <w:lang w:bidi="en-US"/>
        </w:rPr>
        <w:t>. Harvard University Asia Center.</w:t>
      </w:r>
    </w:p>
    <w:p w14:paraId="081E1723" w14:textId="054C229B" w:rsidR="008051EC" w:rsidRPr="008051EC" w:rsidRDefault="008051EC" w:rsidP="00AC44A9">
      <w:pPr>
        <w:jc w:val="both"/>
        <w:rPr>
          <w:rFonts w:ascii="Calibri" w:eastAsia="Calibri" w:cstheme="minorHAnsi"/>
          <w:bCs/>
          <w:color w:val="000000"/>
          <w:sz w:val="24"/>
          <w:szCs w:val="24"/>
          <w:lang w:bidi="en-US"/>
        </w:rPr>
      </w:pPr>
    </w:p>
    <w:sectPr w:rsidR="008051EC" w:rsidRPr="008051EC" w:rsidSect="00AE7AD4">
      <w:headerReference w:type="default" r:id="rId17"/>
      <w:footerReference w:type="default" r:id="rId18"/>
      <w:endnotePr>
        <w:numFmt w:val="decimal"/>
      </w:endnotePr>
      <w:pgSz w:w="11906" w:h="16838"/>
      <w:pgMar w:top="1440" w:right="1440" w:bottom="1440" w:left="1134" w:header="708" w:footer="708" w:gutter="0"/>
      <w:pgNumType w:start="48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8F2F" w14:textId="77777777" w:rsidR="00381C5E" w:rsidRDefault="00381C5E" w:rsidP="003A1C72">
      <w:r>
        <w:separator/>
      </w:r>
    </w:p>
  </w:endnote>
  <w:endnote w:type="continuationSeparator" w:id="0">
    <w:p w14:paraId="6C6E4B71" w14:textId="77777777" w:rsidR="00381C5E" w:rsidRDefault="00381C5E" w:rsidP="003A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Bd">
    <w:altName w:val="Arial"/>
    <w:panose1 w:val="00000000000000000000"/>
    <w:charset w:val="00"/>
    <w:family w:val="roman"/>
    <w:notTrueType/>
    <w:pitch w:val="default"/>
  </w:font>
  <w:font w:name="Jameel Noori Nastaleeq">
    <w:altName w:val="Arial"/>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doni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891620"/>
      <w:docPartObj>
        <w:docPartGallery w:val="Page Numbers (Bottom of Page)"/>
        <w:docPartUnique/>
      </w:docPartObj>
    </w:sdtPr>
    <w:sdtContent>
      <w:p w14:paraId="1B11ED9E" w14:textId="77777777" w:rsidR="00E22478" w:rsidRDefault="00E22478">
        <w:pPr>
          <w:pStyle w:val="Footer"/>
          <w:pBdr>
            <w:top w:val="single" w:sz="4" w:space="1" w:color="D9D9D9" w:themeColor="background1" w:themeShade="D9"/>
          </w:pBdr>
          <w:jc w:val="right"/>
        </w:pPr>
        <w:r>
          <w:fldChar w:fldCharType="begin"/>
        </w:r>
        <w:r>
          <w:instrText xml:space="preserve"> PAGE   \* MERGEFORMAT </w:instrText>
        </w:r>
        <w:r>
          <w:fldChar w:fldCharType="separate"/>
        </w:r>
        <w:r w:rsidR="00BA6027">
          <w:rPr>
            <w:noProof/>
          </w:rPr>
          <w:t>2112</w:t>
        </w:r>
        <w:r>
          <w:rPr>
            <w:noProof/>
          </w:rPr>
          <w:fldChar w:fldCharType="end"/>
        </w:r>
        <w:r>
          <w:t xml:space="preserve"> | </w:t>
        </w:r>
        <w:r>
          <w:rPr>
            <w:color w:val="7F7F7F" w:themeColor="background1" w:themeShade="7F"/>
            <w:spacing w:val="60"/>
          </w:rPr>
          <w:t>Page</w:t>
        </w:r>
      </w:p>
    </w:sdtContent>
  </w:sdt>
  <w:p w14:paraId="19D580C5" w14:textId="77777777" w:rsidR="00E22478" w:rsidRDefault="00E22478" w:rsidP="00745699">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8CE8F" w14:textId="77777777" w:rsidR="00381C5E" w:rsidRDefault="00381C5E" w:rsidP="003A1C72">
      <w:r>
        <w:separator/>
      </w:r>
    </w:p>
  </w:footnote>
  <w:footnote w:type="continuationSeparator" w:id="0">
    <w:p w14:paraId="13637C0E" w14:textId="77777777" w:rsidR="00381C5E" w:rsidRDefault="00381C5E" w:rsidP="003A1C72">
      <w:r>
        <w:continuationSeparator/>
      </w:r>
    </w:p>
  </w:footnote>
  <w:footnote w:id="1">
    <w:p w14:paraId="5352C2E6" w14:textId="77777777" w:rsidR="00AC44A9" w:rsidRDefault="00AC44A9" w:rsidP="00AC44A9">
      <w:pPr>
        <w:pStyle w:val="FootnoteText"/>
        <w:jc w:val="both"/>
      </w:pPr>
      <w:r>
        <w:rPr>
          <w:vertAlign w:val="superscript"/>
        </w:rPr>
        <w:footnoteRef/>
      </w:r>
      <w:r>
        <w:t xml:space="preserve">  In the philosophy of Gilles Deleuze and Félix Guattari, deterritorialization refers to a process in which established systems, identities, traditions, spaces, or cultural structures lose their stability and are removed from their original “territory” or context. A “territory” here does not only mean physical land; it also means cultural belonging, social order, language, religion, memory, and identity. Deleuze and Guattari explain that societies are always organized through certain fixed structures and meanings. People feel secure because they belong to recognizable traditions, institutions, and cultural systems. Though, historical changes such as colonialism, migration, industrialization, capitalism, or political collapse can disrupt these structures. When this happens, individuals and communities experience deterritorialization because their old cultural and social foundations no longer function in the same way. For example, in the context of Indian Muslims under British colonial rule, deterritorialization can describe the collapse of Mughal political authority, the weakening of traditional Islamic educational systems, and the decline of Indo-Muslim cultural dominance after 1857. Muslims who once understood themselves through stable cultural and political traditions suddenly faced displacement, uncertainty, and identity crisis under colonial modernity. Deleuze argues that deterritorialization is never entirely negative. Although it creates instability, it also opens possibilities for new meanings, identities, and forms of thought. Therefore, literature produced after cultural disruption often becomes a site where societies negotiate loss, memory, and renewal. This is where writers like Abdul Halim Sharar become important. Through novels such as Firdaus-e-Bareen and Guzishta Lucknow, Sharar attempts a form of reterritorialization, another Deleuzian concept. Reterritorialization means rebuilding identity and meaning after disruption. Sharar reconstructs the lost Muslim past through literature, memory, history, and imagination so that the community can reconnect with its cultural heritage. His writing does not simply reproduce history; rather, it creatively reassembles fragments of the past to restore cultural confidence and continuity (Deleuze &amp; Guattari, 1987, pp. 508–510).</w:t>
      </w:r>
    </w:p>
  </w:footnote>
  <w:footnote w:id="2">
    <w:p w14:paraId="290BCB9F" w14:textId="77777777" w:rsidR="00AC44A9" w:rsidRDefault="00AC44A9" w:rsidP="00AC44A9">
      <w:pPr>
        <w:jc w:val="both"/>
      </w:pPr>
      <w:r>
        <w:rPr>
          <w:vertAlign w:val="superscript"/>
        </w:rPr>
        <w:footnoteRef/>
      </w:r>
      <w:r>
        <w:rPr>
          <w:sz w:val="20"/>
          <w:szCs w:val="20"/>
        </w:rPr>
        <w:t xml:space="preserve"> According to Hayden White, </w:t>
      </w:r>
      <w:r>
        <w:rPr>
          <w:sz w:val="20"/>
          <w:szCs w:val="20"/>
          <w:rtl/>
          <w:lang w:val="ar-SA"/>
        </w:rPr>
        <w:t>“</w:t>
      </w:r>
      <w:r>
        <w:rPr>
          <w:sz w:val="20"/>
          <w:szCs w:val="20"/>
        </w:rPr>
        <w:t>emplotment” is the process through which historical events are transformed into a meaningful narrative structure. In his influential work Metahistory, White argues that history is not simply a neutral presentation of facts; rather, historians actively organize and interpret events in ways similar to literary writers. Facts by themselves do not automatically produce meaning. Meaning emerges when historians select certain events, connect them together, emphasize particular causes and consequences, and arrange them into recognizable story patterns. This narrative shaping is what White calls emplotment. He further explains that historical narratives often follow literary modes such as romance, tragedy, comedy, or satire. For instance, a historian may portray a nation</w:t>
      </w:r>
      <w:r>
        <w:rPr>
          <w:sz w:val="20"/>
          <w:szCs w:val="20"/>
          <w:rtl/>
        </w:rPr>
        <w:t>’</w:t>
      </w:r>
      <w:r>
        <w:rPr>
          <w:sz w:val="20"/>
          <w:szCs w:val="20"/>
        </w:rPr>
        <w:t>s past as a heroic struggle leading to triumph, which would resemble romance, while another historian may describe the same events as a tragic decline marked by loss and collapse. In both cases, the factual material may remain similar, but the interpretation changes because of the narrative structure imposed upon it. White</w:t>
      </w:r>
      <w:r>
        <w:rPr>
          <w:sz w:val="20"/>
          <w:szCs w:val="20"/>
          <w:rtl/>
        </w:rPr>
        <w:t>’</w:t>
      </w:r>
      <w:r>
        <w:rPr>
          <w:sz w:val="20"/>
          <w:szCs w:val="20"/>
        </w:rPr>
        <w:t>s theory therefore challenges the idea that history is entirely objective or free from literary influence. Instead, he suggests that historical writing is deeply connected with imagination, ideology, and storytelling techniques. This concept is especially useful in understanding writers like Abdul Halim Sharar, whose historical novels reconstruct the Muslim past not merely as factual history but as emotionally charged narratives of cultural glory, refinement, and moral identity. Through emplotment, Sharar turns history into a literary and ideological project that shapes how readers remember and emotionally connect with the past (White, 1973, pp. 7–11).</w:t>
      </w:r>
    </w:p>
  </w:footnote>
  <w:footnote w:id="3">
    <w:p w14:paraId="448F52FA" w14:textId="77777777" w:rsidR="00AC44A9" w:rsidRDefault="00AC44A9" w:rsidP="00AC44A9">
      <w:pPr>
        <w:pStyle w:val="FootnoteText"/>
        <w:jc w:val="both"/>
      </w:pPr>
      <w:r>
        <w:rPr>
          <w:vertAlign w:val="superscript"/>
        </w:rPr>
        <w:footnoteRef/>
      </w:r>
      <w:r>
        <w:t xml:space="preserve"> In examining the reception of cultural figures, Robert Darnton and Pierre Bourdieu both offer valuable frameworks. Darnton, in exploring the circulation of literature in 18th-century France, emphasizes how reading habits and the spread of texts reveal public reception and cultural shifts. Bourdieu, on the other hand, focuses on how the “field of cultural production”, encompassing circulation, readership, and institutional recognition, shapes the social value of a writer. Both perspectives remind us that the popularity or influence of a writer is never simply inherent in the work but is also reflected in how widely their texts circulate and how they shape or are shaped by social structures (Darnton, 1984, pp. 9–10; Bourdieu, 1993, p. 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726A" w14:textId="168DCAA8" w:rsidR="00E22478" w:rsidRPr="00414F95" w:rsidRDefault="00E22478" w:rsidP="00366B2F">
    <w:pPr>
      <w:pStyle w:val="Header"/>
      <w:rPr>
        <w:rFonts w:ascii="Bodoni MT" w:hAnsi="Bodoni MT"/>
        <w:sz w:val="24"/>
        <w:szCs w:val="24"/>
      </w:rPr>
    </w:pPr>
    <w:r w:rsidRPr="00E31CEE">
      <w:rPr>
        <w:rFonts w:ascii="Bodoni MT" w:hAnsi="Bodoni MT"/>
        <w:i/>
        <w:iCs/>
        <w:sz w:val="24"/>
        <w:szCs w:val="24"/>
      </w:rPr>
      <w:ptab w:relativeTo="margin" w:alignment="left" w:leader="none"/>
    </w:r>
    <w:r w:rsidRPr="00E31CEE">
      <w:rPr>
        <w:rFonts w:ascii="Bodoni MT" w:hAnsi="Bodoni MT"/>
        <w:i/>
        <w:iCs/>
        <w:sz w:val="24"/>
        <w:szCs w:val="24"/>
      </w:rPr>
      <w:ptab w:relativeTo="margin" w:alignment="left" w:leader="none"/>
    </w:r>
    <w:r>
      <w:rPr>
        <w:rFonts w:ascii="Bodoni MT" w:hAnsi="Bodoni MT"/>
        <w:i/>
        <w:iCs/>
        <w:sz w:val="24"/>
        <w:szCs w:val="24"/>
      </w:rPr>
      <w:t>Vol. 04 No. 0</w:t>
    </w:r>
    <w:r w:rsidR="00461A87">
      <w:rPr>
        <w:rFonts w:ascii="Bodoni MT" w:hAnsi="Bodoni MT"/>
        <w:i/>
        <w:iCs/>
        <w:sz w:val="24"/>
        <w:szCs w:val="24"/>
      </w:rPr>
      <w:t>1</w:t>
    </w:r>
    <w:r w:rsidRPr="00E31CEE">
      <w:rPr>
        <w:rFonts w:ascii="Bodoni MT" w:hAnsi="Bodoni MT"/>
        <w:i/>
        <w:iCs/>
        <w:sz w:val="24"/>
        <w:szCs w:val="24"/>
      </w:rPr>
      <w:t xml:space="preserve">. </w:t>
    </w:r>
    <w:r w:rsidR="00B9580A">
      <w:rPr>
        <w:rFonts w:ascii="Bodoni MT" w:hAnsi="Bodoni MT"/>
        <w:i/>
        <w:iCs/>
        <w:sz w:val="24"/>
        <w:szCs w:val="24"/>
      </w:rPr>
      <w:t>J</w:t>
    </w:r>
    <w:r w:rsidR="00461A87">
      <w:rPr>
        <w:rFonts w:ascii="Bodoni MT" w:hAnsi="Bodoni MT"/>
        <w:i/>
        <w:iCs/>
        <w:sz w:val="24"/>
        <w:szCs w:val="24"/>
      </w:rPr>
      <w:t>uly</w:t>
    </w:r>
    <w:r w:rsidRPr="00E31CEE">
      <w:rPr>
        <w:rFonts w:ascii="Bodoni MT" w:hAnsi="Bodoni MT"/>
        <w:i/>
        <w:iCs/>
        <w:sz w:val="24"/>
        <w:szCs w:val="24"/>
      </w:rPr>
      <w:t>-</w:t>
    </w:r>
    <w:r w:rsidR="00461A87">
      <w:rPr>
        <w:rFonts w:ascii="Bodoni MT" w:hAnsi="Bodoni MT"/>
        <w:i/>
        <w:iCs/>
        <w:sz w:val="24"/>
        <w:szCs w:val="24"/>
      </w:rPr>
      <w:t xml:space="preserve">Sep </w:t>
    </w:r>
    <w:r w:rsidRPr="00E31CEE">
      <w:rPr>
        <w:rFonts w:ascii="Bodoni MT" w:hAnsi="Bodoni MT"/>
        <w:i/>
        <w:iCs/>
        <w:sz w:val="24"/>
        <w:szCs w:val="24"/>
      </w:rPr>
      <w:t>2025</w:t>
    </w:r>
    <w:r w:rsidRPr="00E31CEE">
      <w:rPr>
        <w:rFonts w:ascii="Bodoni MT" w:hAnsi="Bodoni MT"/>
        <w:i/>
        <w:iCs/>
        <w:sz w:val="24"/>
        <w:szCs w:val="24"/>
      </w:rPr>
      <w:tab/>
    </w:r>
    <w:r>
      <w:rPr>
        <w:rFonts w:ascii="Bodoni MT" w:hAnsi="Bodoni MT"/>
        <w:i/>
        <w:iCs/>
        <w:sz w:val="24"/>
        <w:szCs w:val="24"/>
      </w:rPr>
      <w:tab/>
      <w:t>Advance Social Science Archive</w:t>
    </w:r>
    <w:r w:rsidRPr="00E31CEE">
      <w:rPr>
        <w:rFonts w:ascii="Bodoni MT" w:hAnsi="Bodoni MT"/>
        <w:i/>
        <w:iCs/>
        <w:sz w:val="24"/>
        <w:szCs w:val="24"/>
      </w:rPr>
      <w:t xml:space="preserve"> Journal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E048F"/>
    <w:multiLevelType w:val="hybridMultilevel"/>
    <w:tmpl w:val="0404629C"/>
    <w:lvl w:ilvl="0" w:tplc="9FE458B8">
      <w:start w:val="1"/>
      <w:numFmt w:val="lowerRoman"/>
      <w:lvlText w:val="%1."/>
      <w:lvlJc w:val="right"/>
      <w:pPr>
        <w:ind w:left="36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13A46"/>
    <w:multiLevelType w:val="multilevel"/>
    <w:tmpl w:val="B500493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6344A3"/>
    <w:multiLevelType w:val="hybridMultilevel"/>
    <w:tmpl w:val="A5A895D6"/>
    <w:lvl w:ilvl="0" w:tplc="A75A9DE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374E7"/>
    <w:multiLevelType w:val="hybridMultilevel"/>
    <w:tmpl w:val="040A66E2"/>
    <w:lvl w:ilvl="0" w:tplc="0409001B">
      <w:start w:val="1"/>
      <w:numFmt w:val="low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766F66"/>
    <w:multiLevelType w:val="hybridMultilevel"/>
    <w:tmpl w:val="F4669D6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474046">
    <w:abstractNumId w:val="4"/>
  </w:num>
  <w:num w:numId="2" w16cid:durableId="1651210959">
    <w:abstractNumId w:val="3"/>
  </w:num>
  <w:num w:numId="3" w16cid:durableId="979073748">
    <w:abstractNumId w:val="0"/>
  </w:num>
  <w:num w:numId="4" w16cid:durableId="1861510619">
    <w:abstractNumId w:val="2"/>
  </w:num>
  <w:num w:numId="5" w16cid:durableId="80466685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C72"/>
    <w:rsid w:val="000027AB"/>
    <w:rsid w:val="000131CC"/>
    <w:rsid w:val="00020035"/>
    <w:rsid w:val="00020F91"/>
    <w:rsid w:val="000241FB"/>
    <w:rsid w:val="000253D8"/>
    <w:rsid w:val="0002545A"/>
    <w:rsid w:val="00026BAA"/>
    <w:rsid w:val="00027A79"/>
    <w:rsid w:val="00032139"/>
    <w:rsid w:val="00032220"/>
    <w:rsid w:val="00032F7C"/>
    <w:rsid w:val="000413BF"/>
    <w:rsid w:val="00041EF7"/>
    <w:rsid w:val="00044178"/>
    <w:rsid w:val="000566CB"/>
    <w:rsid w:val="00056F44"/>
    <w:rsid w:val="00060DC6"/>
    <w:rsid w:val="00060FD5"/>
    <w:rsid w:val="00062B14"/>
    <w:rsid w:val="0006507B"/>
    <w:rsid w:val="00073637"/>
    <w:rsid w:val="000756C7"/>
    <w:rsid w:val="00080617"/>
    <w:rsid w:val="000806F1"/>
    <w:rsid w:val="000809F6"/>
    <w:rsid w:val="00080F1A"/>
    <w:rsid w:val="0008330F"/>
    <w:rsid w:val="0009008B"/>
    <w:rsid w:val="00090095"/>
    <w:rsid w:val="00092DAB"/>
    <w:rsid w:val="00093954"/>
    <w:rsid w:val="000A0BE8"/>
    <w:rsid w:val="000A69A8"/>
    <w:rsid w:val="000B1CA7"/>
    <w:rsid w:val="000B5822"/>
    <w:rsid w:val="000B6157"/>
    <w:rsid w:val="000B6784"/>
    <w:rsid w:val="000C0729"/>
    <w:rsid w:val="000C68F3"/>
    <w:rsid w:val="000D50E8"/>
    <w:rsid w:val="000D52B8"/>
    <w:rsid w:val="000D5F66"/>
    <w:rsid w:val="000E1521"/>
    <w:rsid w:val="000E23F3"/>
    <w:rsid w:val="000E396E"/>
    <w:rsid w:val="000E79B2"/>
    <w:rsid w:val="000F01D7"/>
    <w:rsid w:val="000F0754"/>
    <w:rsid w:val="000F3422"/>
    <w:rsid w:val="000F6629"/>
    <w:rsid w:val="000F75E0"/>
    <w:rsid w:val="000F77CA"/>
    <w:rsid w:val="001029AA"/>
    <w:rsid w:val="00103936"/>
    <w:rsid w:val="00103A23"/>
    <w:rsid w:val="001052A0"/>
    <w:rsid w:val="00110701"/>
    <w:rsid w:val="00111080"/>
    <w:rsid w:val="00113F79"/>
    <w:rsid w:val="001156CB"/>
    <w:rsid w:val="00120D7A"/>
    <w:rsid w:val="00121083"/>
    <w:rsid w:val="00121C8C"/>
    <w:rsid w:val="00122607"/>
    <w:rsid w:val="00126417"/>
    <w:rsid w:val="0012753C"/>
    <w:rsid w:val="00144C18"/>
    <w:rsid w:val="0015293E"/>
    <w:rsid w:val="00152B76"/>
    <w:rsid w:val="00153891"/>
    <w:rsid w:val="00154EFE"/>
    <w:rsid w:val="001557D1"/>
    <w:rsid w:val="0015739A"/>
    <w:rsid w:val="0016030A"/>
    <w:rsid w:val="00160316"/>
    <w:rsid w:val="00166685"/>
    <w:rsid w:val="00166879"/>
    <w:rsid w:val="00167BD2"/>
    <w:rsid w:val="0017201A"/>
    <w:rsid w:val="00172903"/>
    <w:rsid w:val="00172F3A"/>
    <w:rsid w:val="0017373F"/>
    <w:rsid w:val="001737E4"/>
    <w:rsid w:val="00174F6A"/>
    <w:rsid w:val="001811EA"/>
    <w:rsid w:val="0018153A"/>
    <w:rsid w:val="0018532B"/>
    <w:rsid w:val="001908FC"/>
    <w:rsid w:val="00191B2F"/>
    <w:rsid w:val="001A41BF"/>
    <w:rsid w:val="001A41F7"/>
    <w:rsid w:val="001B0AD6"/>
    <w:rsid w:val="001B60AC"/>
    <w:rsid w:val="001B7446"/>
    <w:rsid w:val="001C61F8"/>
    <w:rsid w:val="001C72F3"/>
    <w:rsid w:val="001C7B99"/>
    <w:rsid w:val="001D111E"/>
    <w:rsid w:val="001D28C8"/>
    <w:rsid w:val="001D2B12"/>
    <w:rsid w:val="001D2D00"/>
    <w:rsid w:val="001D3D94"/>
    <w:rsid w:val="001D496D"/>
    <w:rsid w:val="001D625B"/>
    <w:rsid w:val="001D77D8"/>
    <w:rsid w:val="001D7847"/>
    <w:rsid w:val="001E05A2"/>
    <w:rsid w:val="001E1CCC"/>
    <w:rsid w:val="001E61C4"/>
    <w:rsid w:val="001F3FE3"/>
    <w:rsid w:val="001F5A31"/>
    <w:rsid w:val="00201C19"/>
    <w:rsid w:val="00202667"/>
    <w:rsid w:val="00203EF2"/>
    <w:rsid w:val="00204266"/>
    <w:rsid w:val="00207DEA"/>
    <w:rsid w:val="002127A3"/>
    <w:rsid w:val="002144CE"/>
    <w:rsid w:val="0022145A"/>
    <w:rsid w:val="00222023"/>
    <w:rsid w:val="00222C3A"/>
    <w:rsid w:val="00224A69"/>
    <w:rsid w:val="002265B1"/>
    <w:rsid w:val="00232B78"/>
    <w:rsid w:val="002430A4"/>
    <w:rsid w:val="0024562E"/>
    <w:rsid w:val="00246A3D"/>
    <w:rsid w:val="002537DD"/>
    <w:rsid w:val="002543DD"/>
    <w:rsid w:val="00255C72"/>
    <w:rsid w:val="00257258"/>
    <w:rsid w:val="00266B8A"/>
    <w:rsid w:val="00266CD7"/>
    <w:rsid w:val="0027533F"/>
    <w:rsid w:val="002839FB"/>
    <w:rsid w:val="00286310"/>
    <w:rsid w:val="00286566"/>
    <w:rsid w:val="00287409"/>
    <w:rsid w:val="00287583"/>
    <w:rsid w:val="0029177B"/>
    <w:rsid w:val="0029214A"/>
    <w:rsid w:val="00294832"/>
    <w:rsid w:val="002A005D"/>
    <w:rsid w:val="002A0E97"/>
    <w:rsid w:val="002A32E8"/>
    <w:rsid w:val="002B0709"/>
    <w:rsid w:val="002B169F"/>
    <w:rsid w:val="002B4D20"/>
    <w:rsid w:val="002B6250"/>
    <w:rsid w:val="002B7C0C"/>
    <w:rsid w:val="002C034F"/>
    <w:rsid w:val="002C0A4E"/>
    <w:rsid w:val="002C0DEC"/>
    <w:rsid w:val="002C5416"/>
    <w:rsid w:val="002C6709"/>
    <w:rsid w:val="002C772E"/>
    <w:rsid w:val="002D2376"/>
    <w:rsid w:val="002D4859"/>
    <w:rsid w:val="002D51B3"/>
    <w:rsid w:val="002E3FFE"/>
    <w:rsid w:val="002E67D8"/>
    <w:rsid w:val="002F01BB"/>
    <w:rsid w:val="002F0B66"/>
    <w:rsid w:val="002F0DC3"/>
    <w:rsid w:val="002F2C59"/>
    <w:rsid w:val="002F7CC7"/>
    <w:rsid w:val="003013B6"/>
    <w:rsid w:val="003022B4"/>
    <w:rsid w:val="0030346A"/>
    <w:rsid w:val="00306429"/>
    <w:rsid w:val="00307832"/>
    <w:rsid w:val="00316863"/>
    <w:rsid w:val="003329AE"/>
    <w:rsid w:val="00332B04"/>
    <w:rsid w:val="00334525"/>
    <w:rsid w:val="003358FE"/>
    <w:rsid w:val="00341330"/>
    <w:rsid w:val="00343D1F"/>
    <w:rsid w:val="003457D2"/>
    <w:rsid w:val="0034621C"/>
    <w:rsid w:val="0035215E"/>
    <w:rsid w:val="00354DB9"/>
    <w:rsid w:val="00356398"/>
    <w:rsid w:val="00356A16"/>
    <w:rsid w:val="003579D2"/>
    <w:rsid w:val="00357B19"/>
    <w:rsid w:val="00361E1D"/>
    <w:rsid w:val="003652BA"/>
    <w:rsid w:val="00365E08"/>
    <w:rsid w:val="00366793"/>
    <w:rsid w:val="00366B2F"/>
    <w:rsid w:val="0037002D"/>
    <w:rsid w:val="003704F6"/>
    <w:rsid w:val="003722CC"/>
    <w:rsid w:val="0037450E"/>
    <w:rsid w:val="003810CB"/>
    <w:rsid w:val="00381C5E"/>
    <w:rsid w:val="00382630"/>
    <w:rsid w:val="00384C81"/>
    <w:rsid w:val="0038732C"/>
    <w:rsid w:val="00387E66"/>
    <w:rsid w:val="0039116C"/>
    <w:rsid w:val="003916CD"/>
    <w:rsid w:val="00392390"/>
    <w:rsid w:val="003938CE"/>
    <w:rsid w:val="00393DB5"/>
    <w:rsid w:val="0039540D"/>
    <w:rsid w:val="00397938"/>
    <w:rsid w:val="003A1C72"/>
    <w:rsid w:val="003A2C7F"/>
    <w:rsid w:val="003A5466"/>
    <w:rsid w:val="003A774D"/>
    <w:rsid w:val="003A78E7"/>
    <w:rsid w:val="003B767A"/>
    <w:rsid w:val="003C2801"/>
    <w:rsid w:val="003D427B"/>
    <w:rsid w:val="003D6481"/>
    <w:rsid w:val="003D65FC"/>
    <w:rsid w:val="003D6D29"/>
    <w:rsid w:val="003D7BD9"/>
    <w:rsid w:val="003E29FA"/>
    <w:rsid w:val="003E40FA"/>
    <w:rsid w:val="003E5C04"/>
    <w:rsid w:val="003F61F8"/>
    <w:rsid w:val="003F6801"/>
    <w:rsid w:val="003F6EE6"/>
    <w:rsid w:val="004021F4"/>
    <w:rsid w:val="004030F5"/>
    <w:rsid w:val="00412FFD"/>
    <w:rsid w:val="00414F95"/>
    <w:rsid w:val="004204AB"/>
    <w:rsid w:val="004204B4"/>
    <w:rsid w:val="0042534D"/>
    <w:rsid w:val="00427239"/>
    <w:rsid w:val="00427289"/>
    <w:rsid w:val="00441E49"/>
    <w:rsid w:val="00442627"/>
    <w:rsid w:val="0044404D"/>
    <w:rsid w:val="00445658"/>
    <w:rsid w:val="00447946"/>
    <w:rsid w:val="00450C7D"/>
    <w:rsid w:val="00453DBB"/>
    <w:rsid w:val="00453FD7"/>
    <w:rsid w:val="004541B9"/>
    <w:rsid w:val="00461A3D"/>
    <w:rsid w:val="00461A87"/>
    <w:rsid w:val="00462624"/>
    <w:rsid w:val="00463DA0"/>
    <w:rsid w:val="00464030"/>
    <w:rsid w:val="00464F56"/>
    <w:rsid w:val="00466EC7"/>
    <w:rsid w:val="004704E5"/>
    <w:rsid w:val="004735B3"/>
    <w:rsid w:val="00474F35"/>
    <w:rsid w:val="00482E69"/>
    <w:rsid w:val="00490DCF"/>
    <w:rsid w:val="004917CD"/>
    <w:rsid w:val="00493DF8"/>
    <w:rsid w:val="00496F58"/>
    <w:rsid w:val="00497D2D"/>
    <w:rsid w:val="004A6143"/>
    <w:rsid w:val="004A718D"/>
    <w:rsid w:val="004B5DE6"/>
    <w:rsid w:val="004B620E"/>
    <w:rsid w:val="004C014F"/>
    <w:rsid w:val="004C26D4"/>
    <w:rsid w:val="004C27D2"/>
    <w:rsid w:val="004C2E55"/>
    <w:rsid w:val="004C3E89"/>
    <w:rsid w:val="004C689C"/>
    <w:rsid w:val="004C6913"/>
    <w:rsid w:val="004C78FE"/>
    <w:rsid w:val="004D7B04"/>
    <w:rsid w:val="004D7D97"/>
    <w:rsid w:val="004E0877"/>
    <w:rsid w:val="004E34F4"/>
    <w:rsid w:val="004E67B7"/>
    <w:rsid w:val="004F009C"/>
    <w:rsid w:val="004F73A5"/>
    <w:rsid w:val="004F75FE"/>
    <w:rsid w:val="004F79B5"/>
    <w:rsid w:val="00503EC3"/>
    <w:rsid w:val="005048BA"/>
    <w:rsid w:val="00505332"/>
    <w:rsid w:val="00505973"/>
    <w:rsid w:val="00517829"/>
    <w:rsid w:val="00521A33"/>
    <w:rsid w:val="00524910"/>
    <w:rsid w:val="00526732"/>
    <w:rsid w:val="005270FE"/>
    <w:rsid w:val="00527CE9"/>
    <w:rsid w:val="00530573"/>
    <w:rsid w:val="005319FE"/>
    <w:rsid w:val="00535B6A"/>
    <w:rsid w:val="00540391"/>
    <w:rsid w:val="00540E04"/>
    <w:rsid w:val="00543316"/>
    <w:rsid w:val="00552CBF"/>
    <w:rsid w:val="0056753E"/>
    <w:rsid w:val="00573925"/>
    <w:rsid w:val="005777FD"/>
    <w:rsid w:val="00583A3A"/>
    <w:rsid w:val="00584F37"/>
    <w:rsid w:val="00585079"/>
    <w:rsid w:val="00586832"/>
    <w:rsid w:val="0058763D"/>
    <w:rsid w:val="00587B30"/>
    <w:rsid w:val="0059030F"/>
    <w:rsid w:val="00594338"/>
    <w:rsid w:val="005953FA"/>
    <w:rsid w:val="005961DE"/>
    <w:rsid w:val="005A03B1"/>
    <w:rsid w:val="005A2D66"/>
    <w:rsid w:val="005A6172"/>
    <w:rsid w:val="005B0F45"/>
    <w:rsid w:val="005B24D5"/>
    <w:rsid w:val="005B445B"/>
    <w:rsid w:val="005C5170"/>
    <w:rsid w:val="005D0771"/>
    <w:rsid w:val="005D4818"/>
    <w:rsid w:val="005D4B37"/>
    <w:rsid w:val="005D4D29"/>
    <w:rsid w:val="005D5552"/>
    <w:rsid w:val="005E10E7"/>
    <w:rsid w:val="005E40B5"/>
    <w:rsid w:val="005E4CFE"/>
    <w:rsid w:val="005E60AA"/>
    <w:rsid w:val="005F7DA4"/>
    <w:rsid w:val="0060046E"/>
    <w:rsid w:val="00602137"/>
    <w:rsid w:val="00603995"/>
    <w:rsid w:val="006055AD"/>
    <w:rsid w:val="00607A74"/>
    <w:rsid w:val="00607BF5"/>
    <w:rsid w:val="006123FF"/>
    <w:rsid w:val="00613F05"/>
    <w:rsid w:val="0061402F"/>
    <w:rsid w:val="006140DA"/>
    <w:rsid w:val="00615D19"/>
    <w:rsid w:val="00615DC5"/>
    <w:rsid w:val="006223CF"/>
    <w:rsid w:val="0062509A"/>
    <w:rsid w:val="00625B2F"/>
    <w:rsid w:val="00625BB0"/>
    <w:rsid w:val="00626D0F"/>
    <w:rsid w:val="006412EB"/>
    <w:rsid w:val="006424C7"/>
    <w:rsid w:val="00642941"/>
    <w:rsid w:val="00651B31"/>
    <w:rsid w:val="00654AB0"/>
    <w:rsid w:val="00656CD8"/>
    <w:rsid w:val="006579DA"/>
    <w:rsid w:val="00661F0E"/>
    <w:rsid w:val="00672FD7"/>
    <w:rsid w:val="00673702"/>
    <w:rsid w:val="006743C2"/>
    <w:rsid w:val="00674ABD"/>
    <w:rsid w:val="006820AC"/>
    <w:rsid w:val="00682602"/>
    <w:rsid w:val="0068581F"/>
    <w:rsid w:val="00685C64"/>
    <w:rsid w:val="0069028B"/>
    <w:rsid w:val="00693EBD"/>
    <w:rsid w:val="00697F26"/>
    <w:rsid w:val="006A16DC"/>
    <w:rsid w:val="006A2276"/>
    <w:rsid w:val="006A2298"/>
    <w:rsid w:val="006A4F9D"/>
    <w:rsid w:val="006A561F"/>
    <w:rsid w:val="006B2F18"/>
    <w:rsid w:val="006B4640"/>
    <w:rsid w:val="006C0F83"/>
    <w:rsid w:val="006C1CCC"/>
    <w:rsid w:val="006C315F"/>
    <w:rsid w:val="006D748C"/>
    <w:rsid w:val="006E1707"/>
    <w:rsid w:val="006E4FEE"/>
    <w:rsid w:val="006E5BFC"/>
    <w:rsid w:val="006E7180"/>
    <w:rsid w:val="006F7FD6"/>
    <w:rsid w:val="00703A4F"/>
    <w:rsid w:val="00710F18"/>
    <w:rsid w:val="00713E08"/>
    <w:rsid w:val="00715206"/>
    <w:rsid w:val="00715D67"/>
    <w:rsid w:val="0071640B"/>
    <w:rsid w:val="007171EE"/>
    <w:rsid w:val="00722847"/>
    <w:rsid w:val="0072352D"/>
    <w:rsid w:val="00723F1B"/>
    <w:rsid w:val="00725A48"/>
    <w:rsid w:val="007264C4"/>
    <w:rsid w:val="00726C8D"/>
    <w:rsid w:val="00726EA9"/>
    <w:rsid w:val="00727510"/>
    <w:rsid w:val="00732793"/>
    <w:rsid w:val="00734B89"/>
    <w:rsid w:val="0074091D"/>
    <w:rsid w:val="00742832"/>
    <w:rsid w:val="00745501"/>
    <w:rsid w:val="00745699"/>
    <w:rsid w:val="007470B7"/>
    <w:rsid w:val="00750620"/>
    <w:rsid w:val="00751507"/>
    <w:rsid w:val="00753E37"/>
    <w:rsid w:val="00754526"/>
    <w:rsid w:val="007570ED"/>
    <w:rsid w:val="00757972"/>
    <w:rsid w:val="00757A14"/>
    <w:rsid w:val="007614FD"/>
    <w:rsid w:val="00767E32"/>
    <w:rsid w:val="00771043"/>
    <w:rsid w:val="00771B5F"/>
    <w:rsid w:val="00772B0F"/>
    <w:rsid w:val="00772BB5"/>
    <w:rsid w:val="0077753A"/>
    <w:rsid w:val="00777E07"/>
    <w:rsid w:val="00780D5F"/>
    <w:rsid w:val="00781AF6"/>
    <w:rsid w:val="007852D6"/>
    <w:rsid w:val="00787141"/>
    <w:rsid w:val="00791755"/>
    <w:rsid w:val="00793527"/>
    <w:rsid w:val="00797975"/>
    <w:rsid w:val="007A0B31"/>
    <w:rsid w:val="007A0B86"/>
    <w:rsid w:val="007A1939"/>
    <w:rsid w:val="007A2840"/>
    <w:rsid w:val="007A7300"/>
    <w:rsid w:val="007A7C88"/>
    <w:rsid w:val="007B0960"/>
    <w:rsid w:val="007B0D26"/>
    <w:rsid w:val="007B1679"/>
    <w:rsid w:val="007B263E"/>
    <w:rsid w:val="007B2845"/>
    <w:rsid w:val="007B3B9A"/>
    <w:rsid w:val="007B47E6"/>
    <w:rsid w:val="007B564D"/>
    <w:rsid w:val="007B6910"/>
    <w:rsid w:val="007C1209"/>
    <w:rsid w:val="007C2BAA"/>
    <w:rsid w:val="007C37EF"/>
    <w:rsid w:val="007C70A9"/>
    <w:rsid w:val="007C7771"/>
    <w:rsid w:val="007D1709"/>
    <w:rsid w:val="007D5357"/>
    <w:rsid w:val="007E10F7"/>
    <w:rsid w:val="007E1F8A"/>
    <w:rsid w:val="007E2653"/>
    <w:rsid w:val="007E3326"/>
    <w:rsid w:val="007E4DFE"/>
    <w:rsid w:val="007E5DA7"/>
    <w:rsid w:val="007E7045"/>
    <w:rsid w:val="007F09AA"/>
    <w:rsid w:val="007F1C15"/>
    <w:rsid w:val="007F2937"/>
    <w:rsid w:val="007F39D2"/>
    <w:rsid w:val="00802C95"/>
    <w:rsid w:val="00802D20"/>
    <w:rsid w:val="0080459A"/>
    <w:rsid w:val="008051EC"/>
    <w:rsid w:val="00806056"/>
    <w:rsid w:val="00806A78"/>
    <w:rsid w:val="00810ACA"/>
    <w:rsid w:val="0081247D"/>
    <w:rsid w:val="00814E09"/>
    <w:rsid w:val="00816E07"/>
    <w:rsid w:val="00821EAF"/>
    <w:rsid w:val="0082498A"/>
    <w:rsid w:val="00834109"/>
    <w:rsid w:val="008371D4"/>
    <w:rsid w:val="0084179C"/>
    <w:rsid w:val="00842734"/>
    <w:rsid w:val="00844D83"/>
    <w:rsid w:val="008475BA"/>
    <w:rsid w:val="00850CF2"/>
    <w:rsid w:val="008550C7"/>
    <w:rsid w:val="00860AC9"/>
    <w:rsid w:val="00862D83"/>
    <w:rsid w:val="00870E88"/>
    <w:rsid w:val="008713BF"/>
    <w:rsid w:val="0087142A"/>
    <w:rsid w:val="0087393B"/>
    <w:rsid w:val="00874CBD"/>
    <w:rsid w:val="008828FC"/>
    <w:rsid w:val="00883C4D"/>
    <w:rsid w:val="00885AB9"/>
    <w:rsid w:val="00887C36"/>
    <w:rsid w:val="00891559"/>
    <w:rsid w:val="0089372C"/>
    <w:rsid w:val="00896271"/>
    <w:rsid w:val="008A1454"/>
    <w:rsid w:val="008A4F6B"/>
    <w:rsid w:val="008B2CFD"/>
    <w:rsid w:val="008B3392"/>
    <w:rsid w:val="008B6E12"/>
    <w:rsid w:val="008C0376"/>
    <w:rsid w:val="008C174F"/>
    <w:rsid w:val="008C2353"/>
    <w:rsid w:val="008C475A"/>
    <w:rsid w:val="008D4341"/>
    <w:rsid w:val="008E316A"/>
    <w:rsid w:val="008E4C1B"/>
    <w:rsid w:val="008E4FBC"/>
    <w:rsid w:val="008F1A52"/>
    <w:rsid w:val="008F57F9"/>
    <w:rsid w:val="008F788A"/>
    <w:rsid w:val="0090443A"/>
    <w:rsid w:val="00905065"/>
    <w:rsid w:val="00905E33"/>
    <w:rsid w:val="00906CAF"/>
    <w:rsid w:val="009120E4"/>
    <w:rsid w:val="009121B4"/>
    <w:rsid w:val="00914490"/>
    <w:rsid w:val="00920A42"/>
    <w:rsid w:val="009235B3"/>
    <w:rsid w:val="009245B0"/>
    <w:rsid w:val="009261FC"/>
    <w:rsid w:val="00930D36"/>
    <w:rsid w:val="00931F35"/>
    <w:rsid w:val="009321D4"/>
    <w:rsid w:val="00934C48"/>
    <w:rsid w:val="00936935"/>
    <w:rsid w:val="00937A3B"/>
    <w:rsid w:val="00942F1B"/>
    <w:rsid w:val="00947986"/>
    <w:rsid w:val="00947A70"/>
    <w:rsid w:val="0095180A"/>
    <w:rsid w:val="00960BEB"/>
    <w:rsid w:val="009634B4"/>
    <w:rsid w:val="00964392"/>
    <w:rsid w:val="0096648C"/>
    <w:rsid w:val="0096716C"/>
    <w:rsid w:val="00967404"/>
    <w:rsid w:val="00971B03"/>
    <w:rsid w:val="0097383C"/>
    <w:rsid w:val="00976EF6"/>
    <w:rsid w:val="00977B65"/>
    <w:rsid w:val="00977FE7"/>
    <w:rsid w:val="00985BD8"/>
    <w:rsid w:val="00992CCE"/>
    <w:rsid w:val="00992E12"/>
    <w:rsid w:val="00993512"/>
    <w:rsid w:val="00996CB0"/>
    <w:rsid w:val="009A08FC"/>
    <w:rsid w:val="009A65A5"/>
    <w:rsid w:val="009B3801"/>
    <w:rsid w:val="009B5951"/>
    <w:rsid w:val="009C06D3"/>
    <w:rsid w:val="009C51A5"/>
    <w:rsid w:val="009C6E8A"/>
    <w:rsid w:val="009C71D9"/>
    <w:rsid w:val="009D1A03"/>
    <w:rsid w:val="009D1FE7"/>
    <w:rsid w:val="009F4DEE"/>
    <w:rsid w:val="009F7B7A"/>
    <w:rsid w:val="00A01428"/>
    <w:rsid w:val="00A01C12"/>
    <w:rsid w:val="00A0211C"/>
    <w:rsid w:val="00A041FE"/>
    <w:rsid w:val="00A060D8"/>
    <w:rsid w:val="00A11A47"/>
    <w:rsid w:val="00A17CE9"/>
    <w:rsid w:val="00A22CA4"/>
    <w:rsid w:val="00A33380"/>
    <w:rsid w:val="00A347FA"/>
    <w:rsid w:val="00A40B38"/>
    <w:rsid w:val="00A448DC"/>
    <w:rsid w:val="00A47BA4"/>
    <w:rsid w:val="00A52235"/>
    <w:rsid w:val="00A56316"/>
    <w:rsid w:val="00A6505E"/>
    <w:rsid w:val="00A654E4"/>
    <w:rsid w:val="00A66263"/>
    <w:rsid w:val="00A7270F"/>
    <w:rsid w:val="00A73DC5"/>
    <w:rsid w:val="00A74330"/>
    <w:rsid w:val="00A76C63"/>
    <w:rsid w:val="00A76F93"/>
    <w:rsid w:val="00A80B93"/>
    <w:rsid w:val="00A83510"/>
    <w:rsid w:val="00A840BB"/>
    <w:rsid w:val="00A84214"/>
    <w:rsid w:val="00A8790A"/>
    <w:rsid w:val="00A92CBD"/>
    <w:rsid w:val="00A96A2A"/>
    <w:rsid w:val="00A96B52"/>
    <w:rsid w:val="00AA2104"/>
    <w:rsid w:val="00AA44F0"/>
    <w:rsid w:val="00AA505A"/>
    <w:rsid w:val="00AA5520"/>
    <w:rsid w:val="00AA556A"/>
    <w:rsid w:val="00AA7FD8"/>
    <w:rsid w:val="00AB1B40"/>
    <w:rsid w:val="00AB6DC9"/>
    <w:rsid w:val="00AB74B3"/>
    <w:rsid w:val="00AC0C2C"/>
    <w:rsid w:val="00AC1C69"/>
    <w:rsid w:val="00AC32BD"/>
    <w:rsid w:val="00AC3A27"/>
    <w:rsid w:val="00AC44A9"/>
    <w:rsid w:val="00AC573D"/>
    <w:rsid w:val="00AC70B7"/>
    <w:rsid w:val="00AC73EA"/>
    <w:rsid w:val="00AC7C71"/>
    <w:rsid w:val="00AD3AA1"/>
    <w:rsid w:val="00AD4CFF"/>
    <w:rsid w:val="00AE0E26"/>
    <w:rsid w:val="00AE1259"/>
    <w:rsid w:val="00AE75E9"/>
    <w:rsid w:val="00AE7AD4"/>
    <w:rsid w:val="00AF0F95"/>
    <w:rsid w:val="00AF5D44"/>
    <w:rsid w:val="00AF793D"/>
    <w:rsid w:val="00AF7A50"/>
    <w:rsid w:val="00B018AF"/>
    <w:rsid w:val="00B01CA4"/>
    <w:rsid w:val="00B01CB7"/>
    <w:rsid w:val="00B0299B"/>
    <w:rsid w:val="00B05D11"/>
    <w:rsid w:val="00B06A06"/>
    <w:rsid w:val="00B130A4"/>
    <w:rsid w:val="00B17777"/>
    <w:rsid w:val="00B2075F"/>
    <w:rsid w:val="00B20982"/>
    <w:rsid w:val="00B20D80"/>
    <w:rsid w:val="00B23D5E"/>
    <w:rsid w:val="00B33213"/>
    <w:rsid w:val="00B372FA"/>
    <w:rsid w:val="00B37660"/>
    <w:rsid w:val="00B40D68"/>
    <w:rsid w:val="00B41E35"/>
    <w:rsid w:val="00B43425"/>
    <w:rsid w:val="00B458A7"/>
    <w:rsid w:val="00B56FF1"/>
    <w:rsid w:val="00B57A9D"/>
    <w:rsid w:val="00B6240D"/>
    <w:rsid w:val="00B63B0B"/>
    <w:rsid w:val="00B64122"/>
    <w:rsid w:val="00B66CE1"/>
    <w:rsid w:val="00B702DD"/>
    <w:rsid w:val="00B73892"/>
    <w:rsid w:val="00B74E96"/>
    <w:rsid w:val="00B7606C"/>
    <w:rsid w:val="00B8137B"/>
    <w:rsid w:val="00B816CC"/>
    <w:rsid w:val="00B82987"/>
    <w:rsid w:val="00B831F9"/>
    <w:rsid w:val="00B90D35"/>
    <w:rsid w:val="00B914AF"/>
    <w:rsid w:val="00B91B90"/>
    <w:rsid w:val="00B91FA6"/>
    <w:rsid w:val="00B954B0"/>
    <w:rsid w:val="00B9580A"/>
    <w:rsid w:val="00B95B96"/>
    <w:rsid w:val="00B97548"/>
    <w:rsid w:val="00BA3A8C"/>
    <w:rsid w:val="00BA6027"/>
    <w:rsid w:val="00BA66AD"/>
    <w:rsid w:val="00BB0E0C"/>
    <w:rsid w:val="00BB1F9C"/>
    <w:rsid w:val="00BB77BB"/>
    <w:rsid w:val="00BB78C4"/>
    <w:rsid w:val="00BC07EB"/>
    <w:rsid w:val="00BC2D88"/>
    <w:rsid w:val="00BC44A5"/>
    <w:rsid w:val="00BC5243"/>
    <w:rsid w:val="00BC7CAF"/>
    <w:rsid w:val="00BD1C6B"/>
    <w:rsid w:val="00BD2F42"/>
    <w:rsid w:val="00BD42D8"/>
    <w:rsid w:val="00BD4BF1"/>
    <w:rsid w:val="00BD7544"/>
    <w:rsid w:val="00BE22F5"/>
    <w:rsid w:val="00BE2EC4"/>
    <w:rsid w:val="00BE7C89"/>
    <w:rsid w:val="00BF0E00"/>
    <w:rsid w:val="00BF31F6"/>
    <w:rsid w:val="00BF5517"/>
    <w:rsid w:val="00C00605"/>
    <w:rsid w:val="00C027F4"/>
    <w:rsid w:val="00C05E21"/>
    <w:rsid w:val="00C06D9D"/>
    <w:rsid w:val="00C103DE"/>
    <w:rsid w:val="00C14410"/>
    <w:rsid w:val="00C25080"/>
    <w:rsid w:val="00C253F6"/>
    <w:rsid w:val="00C27941"/>
    <w:rsid w:val="00C32C38"/>
    <w:rsid w:val="00C43735"/>
    <w:rsid w:val="00C438F3"/>
    <w:rsid w:val="00C46AB9"/>
    <w:rsid w:val="00C47019"/>
    <w:rsid w:val="00C47DAD"/>
    <w:rsid w:val="00C536DB"/>
    <w:rsid w:val="00C6367F"/>
    <w:rsid w:val="00C64697"/>
    <w:rsid w:val="00C73B0D"/>
    <w:rsid w:val="00C74C1D"/>
    <w:rsid w:val="00C82A5E"/>
    <w:rsid w:val="00C83EBE"/>
    <w:rsid w:val="00C842EE"/>
    <w:rsid w:val="00C87572"/>
    <w:rsid w:val="00C94795"/>
    <w:rsid w:val="00C96117"/>
    <w:rsid w:val="00CA0220"/>
    <w:rsid w:val="00CA0BCF"/>
    <w:rsid w:val="00CA44B0"/>
    <w:rsid w:val="00CA4F8E"/>
    <w:rsid w:val="00CB352F"/>
    <w:rsid w:val="00CB6CC5"/>
    <w:rsid w:val="00CB788F"/>
    <w:rsid w:val="00CC3615"/>
    <w:rsid w:val="00CC3E2F"/>
    <w:rsid w:val="00CD010F"/>
    <w:rsid w:val="00CD283E"/>
    <w:rsid w:val="00CD2948"/>
    <w:rsid w:val="00CD6156"/>
    <w:rsid w:val="00CE0DB2"/>
    <w:rsid w:val="00CE1541"/>
    <w:rsid w:val="00CE197B"/>
    <w:rsid w:val="00CE26CC"/>
    <w:rsid w:val="00CE2A1A"/>
    <w:rsid w:val="00CE6536"/>
    <w:rsid w:val="00CE7944"/>
    <w:rsid w:val="00CE7F26"/>
    <w:rsid w:val="00CF0463"/>
    <w:rsid w:val="00CF30AB"/>
    <w:rsid w:val="00CF39CC"/>
    <w:rsid w:val="00CF5064"/>
    <w:rsid w:val="00CF52D6"/>
    <w:rsid w:val="00CF6878"/>
    <w:rsid w:val="00D01F23"/>
    <w:rsid w:val="00D02736"/>
    <w:rsid w:val="00D02D79"/>
    <w:rsid w:val="00D037B9"/>
    <w:rsid w:val="00D03C0C"/>
    <w:rsid w:val="00D0565C"/>
    <w:rsid w:val="00D14074"/>
    <w:rsid w:val="00D1783B"/>
    <w:rsid w:val="00D179B4"/>
    <w:rsid w:val="00D20617"/>
    <w:rsid w:val="00D24253"/>
    <w:rsid w:val="00D302AA"/>
    <w:rsid w:val="00D3170C"/>
    <w:rsid w:val="00D32B4A"/>
    <w:rsid w:val="00D3365A"/>
    <w:rsid w:val="00D33DA8"/>
    <w:rsid w:val="00D359DA"/>
    <w:rsid w:val="00D36FD8"/>
    <w:rsid w:val="00D42D6F"/>
    <w:rsid w:val="00D43DE6"/>
    <w:rsid w:val="00D44827"/>
    <w:rsid w:val="00D51AD0"/>
    <w:rsid w:val="00D537C0"/>
    <w:rsid w:val="00D54713"/>
    <w:rsid w:val="00D612F6"/>
    <w:rsid w:val="00D64D2B"/>
    <w:rsid w:val="00D64E4C"/>
    <w:rsid w:val="00D64F92"/>
    <w:rsid w:val="00D67249"/>
    <w:rsid w:val="00D72CEB"/>
    <w:rsid w:val="00D818A1"/>
    <w:rsid w:val="00D83EAE"/>
    <w:rsid w:val="00D8461D"/>
    <w:rsid w:val="00D85A26"/>
    <w:rsid w:val="00D869A3"/>
    <w:rsid w:val="00D902A6"/>
    <w:rsid w:val="00D9329D"/>
    <w:rsid w:val="00D9447F"/>
    <w:rsid w:val="00DA03B8"/>
    <w:rsid w:val="00DA0828"/>
    <w:rsid w:val="00DA0D55"/>
    <w:rsid w:val="00DA3CF6"/>
    <w:rsid w:val="00DA60AC"/>
    <w:rsid w:val="00DB012F"/>
    <w:rsid w:val="00DB094C"/>
    <w:rsid w:val="00DB09A2"/>
    <w:rsid w:val="00DB0A1B"/>
    <w:rsid w:val="00DB43D8"/>
    <w:rsid w:val="00DB5B0D"/>
    <w:rsid w:val="00DC1117"/>
    <w:rsid w:val="00DC29C3"/>
    <w:rsid w:val="00DD246D"/>
    <w:rsid w:val="00DD7464"/>
    <w:rsid w:val="00DD7EED"/>
    <w:rsid w:val="00DE09C9"/>
    <w:rsid w:val="00DE2080"/>
    <w:rsid w:val="00DE327E"/>
    <w:rsid w:val="00DE3311"/>
    <w:rsid w:val="00DE4066"/>
    <w:rsid w:val="00DE474C"/>
    <w:rsid w:val="00DE50DF"/>
    <w:rsid w:val="00DF75D8"/>
    <w:rsid w:val="00DF79CA"/>
    <w:rsid w:val="00E02CB7"/>
    <w:rsid w:val="00E05237"/>
    <w:rsid w:val="00E10F86"/>
    <w:rsid w:val="00E16E42"/>
    <w:rsid w:val="00E176FA"/>
    <w:rsid w:val="00E22478"/>
    <w:rsid w:val="00E23604"/>
    <w:rsid w:val="00E23EB2"/>
    <w:rsid w:val="00E30369"/>
    <w:rsid w:val="00E305C5"/>
    <w:rsid w:val="00E31CEE"/>
    <w:rsid w:val="00E323D3"/>
    <w:rsid w:val="00E32DD6"/>
    <w:rsid w:val="00E33659"/>
    <w:rsid w:val="00E33744"/>
    <w:rsid w:val="00E35855"/>
    <w:rsid w:val="00E36336"/>
    <w:rsid w:val="00E41470"/>
    <w:rsid w:val="00E42190"/>
    <w:rsid w:val="00E43E54"/>
    <w:rsid w:val="00E46434"/>
    <w:rsid w:val="00E5082B"/>
    <w:rsid w:val="00E52064"/>
    <w:rsid w:val="00E6134B"/>
    <w:rsid w:val="00E63042"/>
    <w:rsid w:val="00E66694"/>
    <w:rsid w:val="00E66729"/>
    <w:rsid w:val="00E70FCF"/>
    <w:rsid w:val="00E71CA6"/>
    <w:rsid w:val="00E771F7"/>
    <w:rsid w:val="00E8508B"/>
    <w:rsid w:val="00E86728"/>
    <w:rsid w:val="00E874A7"/>
    <w:rsid w:val="00E87E65"/>
    <w:rsid w:val="00E9250C"/>
    <w:rsid w:val="00E965D7"/>
    <w:rsid w:val="00EA5F2E"/>
    <w:rsid w:val="00EA6D7C"/>
    <w:rsid w:val="00EB4BC7"/>
    <w:rsid w:val="00EB7916"/>
    <w:rsid w:val="00EC3581"/>
    <w:rsid w:val="00EC45C6"/>
    <w:rsid w:val="00EC47E8"/>
    <w:rsid w:val="00ED0BB3"/>
    <w:rsid w:val="00ED426A"/>
    <w:rsid w:val="00ED4D02"/>
    <w:rsid w:val="00EE1277"/>
    <w:rsid w:val="00EE1CE3"/>
    <w:rsid w:val="00EE5042"/>
    <w:rsid w:val="00EE763A"/>
    <w:rsid w:val="00EF0034"/>
    <w:rsid w:val="00EF27B6"/>
    <w:rsid w:val="00EF534B"/>
    <w:rsid w:val="00F01751"/>
    <w:rsid w:val="00F0522C"/>
    <w:rsid w:val="00F11734"/>
    <w:rsid w:val="00F131B2"/>
    <w:rsid w:val="00F13B95"/>
    <w:rsid w:val="00F15119"/>
    <w:rsid w:val="00F23EEB"/>
    <w:rsid w:val="00F33C84"/>
    <w:rsid w:val="00F340D6"/>
    <w:rsid w:val="00F353DB"/>
    <w:rsid w:val="00F3767A"/>
    <w:rsid w:val="00F40D7C"/>
    <w:rsid w:val="00F4101C"/>
    <w:rsid w:val="00F41EE8"/>
    <w:rsid w:val="00F437DB"/>
    <w:rsid w:val="00F5255F"/>
    <w:rsid w:val="00F54473"/>
    <w:rsid w:val="00F54839"/>
    <w:rsid w:val="00F56D5B"/>
    <w:rsid w:val="00F61A82"/>
    <w:rsid w:val="00F63C58"/>
    <w:rsid w:val="00F641FE"/>
    <w:rsid w:val="00F65E3B"/>
    <w:rsid w:val="00F67EC4"/>
    <w:rsid w:val="00F67FB7"/>
    <w:rsid w:val="00F73081"/>
    <w:rsid w:val="00F74985"/>
    <w:rsid w:val="00F750D0"/>
    <w:rsid w:val="00F75242"/>
    <w:rsid w:val="00F76C70"/>
    <w:rsid w:val="00F8273B"/>
    <w:rsid w:val="00F846CB"/>
    <w:rsid w:val="00F84872"/>
    <w:rsid w:val="00F85B9A"/>
    <w:rsid w:val="00F8788E"/>
    <w:rsid w:val="00F90A13"/>
    <w:rsid w:val="00F9428C"/>
    <w:rsid w:val="00F957BE"/>
    <w:rsid w:val="00FA17AE"/>
    <w:rsid w:val="00FA3B85"/>
    <w:rsid w:val="00FA6461"/>
    <w:rsid w:val="00FA7C59"/>
    <w:rsid w:val="00FB2F05"/>
    <w:rsid w:val="00FB313F"/>
    <w:rsid w:val="00FB4FB7"/>
    <w:rsid w:val="00FB68B5"/>
    <w:rsid w:val="00FB6DD1"/>
    <w:rsid w:val="00FB7274"/>
    <w:rsid w:val="00FC11CD"/>
    <w:rsid w:val="00FC4B3F"/>
    <w:rsid w:val="00FC585E"/>
    <w:rsid w:val="00FC5BA2"/>
    <w:rsid w:val="00FC60F7"/>
    <w:rsid w:val="00FC6F29"/>
    <w:rsid w:val="00FD0D32"/>
    <w:rsid w:val="00FD4C9A"/>
    <w:rsid w:val="00FD551B"/>
    <w:rsid w:val="00FD69FA"/>
    <w:rsid w:val="00FD7ED9"/>
    <w:rsid w:val="00FE027E"/>
    <w:rsid w:val="00FE0B4A"/>
    <w:rsid w:val="00FE4674"/>
    <w:rsid w:val="00FE5BC2"/>
    <w:rsid w:val="00FF1F15"/>
    <w:rsid w:val="00FF2060"/>
    <w:rsid w:val="00FF271F"/>
    <w:rsid w:val="00FF4B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35486"/>
  <w15:docId w15:val="{6E2F44A3-0DC5-4F41-925F-43D9BD33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C72"/>
    <w:pPr>
      <w:spacing w:after="0" w:line="240" w:lineRule="auto"/>
    </w:pPr>
  </w:style>
  <w:style w:type="paragraph" w:styleId="Heading1">
    <w:name w:val="heading 1"/>
    <w:basedOn w:val="Normal"/>
    <w:next w:val="Normal"/>
    <w:link w:val="Heading1Char"/>
    <w:uiPriority w:val="9"/>
    <w:qFormat/>
    <w:rsid w:val="00971B03"/>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71B03"/>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C5170"/>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71B03"/>
    <w:pPr>
      <w:keepNext/>
      <w:keepLines/>
      <w:spacing w:before="20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737E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21EAF"/>
    <w:pPr>
      <w:keepNext/>
      <w:keepLines/>
      <w:spacing w:before="40" w:line="256"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13F79"/>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13F79"/>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13F79"/>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1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3A1C72"/>
    <w:rPr>
      <w:color w:val="0563C1" w:themeColor="hyperlink"/>
      <w:u w:val="single"/>
    </w:rPr>
  </w:style>
  <w:style w:type="paragraph" w:styleId="Header">
    <w:name w:val="header"/>
    <w:basedOn w:val="Normal"/>
    <w:link w:val="HeaderChar"/>
    <w:uiPriority w:val="99"/>
    <w:unhideWhenUsed/>
    <w:rsid w:val="003A1C72"/>
    <w:pPr>
      <w:tabs>
        <w:tab w:val="center" w:pos="4513"/>
        <w:tab w:val="right" w:pos="9026"/>
      </w:tabs>
    </w:pPr>
  </w:style>
  <w:style w:type="character" w:customStyle="1" w:styleId="HeaderChar">
    <w:name w:val="Header Char"/>
    <w:basedOn w:val="DefaultParagraphFont"/>
    <w:link w:val="Header"/>
    <w:uiPriority w:val="99"/>
    <w:rsid w:val="003A1C72"/>
    <w:rPr>
      <w:lang w:val="en-US"/>
    </w:rPr>
  </w:style>
  <w:style w:type="paragraph" w:styleId="Footer">
    <w:name w:val="footer"/>
    <w:basedOn w:val="Normal"/>
    <w:link w:val="FooterChar"/>
    <w:uiPriority w:val="99"/>
    <w:unhideWhenUsed/>
    <w:rsid w:val="003A1C72"/>
    <w:pPr>
      <w:tabs>
        <w:tab w:val="center" w:pos="4513"/>
        <w:tab w:val="right" w:pos="9026"/>
      </w:tabs>
    </w:pPr>
  </w:style>
  <w:style w:type="character" w:customStyle="1" w:styleId="FooterChar">
    <w:name w:val="Footer Char"/>
    <w:basedOn w:val="DefaultParagraphFont"/>
    <w:link w:val="Footer"/>
    <w:uiPriority w:val="99"/>
    <w:rsid w:val="003A1C72"/>
    <w:rPr>
      <w:lang w:val="en-US"/>
    </w:rPr>
  </w:style>
  <w:style w:type="paragraph" w:styleId="ListParagraph">
    <w:name w:val="List Paragraph"/>
    <w:basedOn w:val="Normal"/>
    <w:link w:val="ListParagraphChar"/>
    <w:uiPriority w:val="34"/>
    <w:qFormat/>
    <w:rsid w:val="00E31CEE"/>
    <w:pPr>
      <w:ind w:left="720"/>
      <w:contextualSpacing/>
    </w:pPr>
  </w:style>
  <w:style w:type="character" w:styleId="Strong">
    <w:name w:val="Strong"/>
    <w:basedOn w:val="DefaultParagraphFont"/>
    <w:uiPriority w:val="22"/>
    <w:qFormat/>
    <w:rsid w:val="00CF0463"/>
    <w:rPr>
      <w:b/>
      <w:bCs/>
    </w:rPr>
  </w:style>
  <w:style w:type="paragraph" w:styleId="FootnoteText">
    <w:name w:val="footnote text"/>
    <w:basedOn w:val="Normal"/>
    <w:link w:val="FootnoteTextChar"/>
    <w:uiPriority w:val="99"/>
    <w:unhideWhenUsed/>
    <w:rsid w:val="00CF0463"/>
    <w:rPr>
      <w:sz w:val="20"/>
      <w:szCs w:val="20"/>
    </w:rPr>
  </w:style>
  <w:style w:type="character" w:customStyle="1" w:styleId="FootnoteTextChar">
    <w:name w:val="Footnote Text Char"/>
    <w:basedOn w:val="DefaultParagraphFont"/>
    <w:link w:val="FootnoteText"/>
    <w:uiPriority w:val="99"/>
    <w:rsid w:val="00CF0463"/>
    <w:rPr>
      <w:sz w:val="20"/>
      <w:szCs w:val="20"/>
    </w:rPr>
  </w:style>
  <w:style w:type="character" w:styleId="FootnoteReference">
    <w:name w:val="footnote reference"/>
    <w:aliases w:val="IRC Footnote Reference,sub heading,NEWFOOTNOTE"/>
    <w:basedOn w:val="DefaultParagraphFont"/>
    <w:uiPriority w:val="99"/>
    <w:unhideWhenUsed/>
    <w:qFormat/>
    <w:rsid w:val="00CF0463"/>
    <w:rPr>
      <w:vertAlign w:val="superscript"/>
    </w:rPr>
  </w:style>
  <w:style w:type="character" w:customStyle="1" w:styleId="Heading3Char">
    <w:name w:val="Heading 3 Char"/>
    <w:basedOn w:val="DefaultParagraphFont"/>
    <w:link w:val="Heading3"/>
    <w:uiPriority w:val="9"/>
    <w:rsid w:val="005C5170"/>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5C5170"/>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71B0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971B03"/>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rsid w:val="00971B03"/>
    <w:rPr>
      <w:rFonts w:asciiTheme="majorHAnsi" w:eastAsiaTheme="majorEastAsia" w:hAnsiTheme="majorHAnsi" w:cstheme="majorBidi"/>
      <w:b/>
      <w:bCs/>
      <w:i/>
      <w:iCs/>
      <w:color w:val="5B9BD5" w:themeColor="accent1"/>
    </w:rPr>
  </w:style>
  <w:style w:type="paragraph" w:styleId="TOCHeading">
    <w:name w:val="TOC Heading"/>
    <w:basedOn w:val="Heading1"/>
    <w:next w:val="Normal"/>
    <w:uiPriority w:val="39"/>
    <w:unhideWhenUsed/>
    <w:qFormat/>
    <w:rsid w:val="00971B03"/>
    <w:pPr>
      <w:outlineLvl w:val="9"/>
    </w:pPr>
    <w:rPr>
      <w:lang w:eastAsia="ja-JP"/>
    </w:rPr>
  </w:style>
  <w:style w:type="paragraph" w:styleId="BalloonText">
    <w:name w:val="Balloon Text"/>
    <w:basedOn w:val="Normal"/>
    <w:link w:val="BalloonTextChar"/>
    <w:uiPriority w:val="99"/>
    <w:semiHidden/>
    <w:unhideWhenUsed/>
    <w:rsid w:val="00971B03"/>
    <w:rPr>
      <w:rFonts w:ascii="Tahoma" w:hAnsi="Tahoma" w:cs="Tahoma"/>
      <w:sz w:val="16"/>
      <w:szCs w:val="16"/>
    </w:rPr>
  </w:style>
  <w:style w:type="character" w:customStyle="1" w:styleId="BalloonTextChar">
    <w:name w:val="Balloon Text Char"/>
    <w:basedOn w:val="DefaultParagraphFont"/>
    <w:link w:val="BalloonText"/>
    <w:uiPriority w:val="99"/>
    <w:semiHidden/>
    <w:rsid w:val="00971B03"/>
    <w:rPr>
      <w:rFonts w:ascii="Tahoma" w:hAnsi="Tahoma" w:cs="Tahoma"/>
      <w:sz w:val="16"/>
      <w:szCs w:val="16"/>
    </w:rPr>
  </w:style>
  <w:style w:type="character" w:customStyle="1" w:styleId="a-text-bold">
    <w:name w:val="a-text-bold"/>
    <w:basedOn w:val="DefaultParagraphFont"/>
    <w:rsid w:val="00971B03"/>
  </w:style>
  <w:style w:type="character" w:styleId="Emphasis">
    <w:name w:val="Emphasis"/>
    <w:basedOn w:val="DefaultParagraphFont"/>
    <w:uiPriority w:val="20"/>
    <w:qFormat/>
    <w:rsid w:val="00971B03"/>
    <w:rPr>
      <w:i/>
      <w:iCs/>
    </w:rPr>
  </w:style>
  <w:style w:type="character" w:styleId="FollowedHyperlink">
    <w:name w:val="FollowedHyperlink"/>
    <w:basedOn w:val="DefaultParagraphFont"/>
    <w:uiPriority w:val="99"/>
    <w:semiHidden/>
    <w:unhideWhenUsed/>
    <w:rsid w:val="00121C8C"/>
    <w:rPr>
      <w:color w:val="954F72" w:themeColor="followedHyperlink"/>
      <w:u w:val="single"/>
    </w:rPr>
  </w:style>
  <w:style w:type="paragraph" w:styleId="NoSpacing">
    <w:name w:val="No Spacing"/>
    <w:uiPriority w:val="1"/>
    <w:qFormat/>
    <w:rsid w:val="008B3392"/>
    <w:pPr>
      <w:spacing w:after="0" w:line="240" w:lineRule="auto"/>
    </w:pPr>
    <w:rPr>
      <w:kern w:val="2"/>
      <w14:ligatures w14:val="standardContextual"/>
    </w:rPr>
  </w:style>
  <w:style w:type="character" w:customStyle="1" w:styleId="fontstyle01">
    <w:name w:val="fontstyle01"/>
    <w:basedOn w:val="DefaultParagraphFont"/>
    <w:rsid w:val="008B3392"/>
    <w:rPr>
      <w:rFonts w:ascii="HelveticaNeueLTStd-Bd" w:hAnsi="HelveticaNeueLTStd-Bd" w:hint="default"/>
      <w:b w:val="0"/>
      <w:bCs w:val="0"/>
      <w:i w:val="0"/>
      <w:iCs w:val="0"/>
      <w:color w:val="242021"/>
      <w:sz w:val="24"/>
      <w:szCs w:val="24"/>
    </w:rPr>
  </w:style>
  <w:style w:type="character" w:customStyle="1" w:styleId="personname">
    <w:name w:val="person_name"/>
    <w:basedOn w:val="DefaultParagraphFont"/>
    <w:rsid w:val="008B3392"/>
  </w:style>
  <w:style w:type="character" w:customStyle="1" w:styleId="author">
    <w:name w:val="author"/>
    <w:basedOn w:val="DefaultParagraphFont"/>
    <w:rsid w:val="008B3392"/>
  </w:style>
  <w:style w:type="character" w:customStyle="1" w:styleId="pubyear">
    <w:name w:val="pubyear"/>
    <w:basedOn w:val="DefaultParagraphFont"/>
    <w:rsid w:val="008B3392"/>
  </w:style>
  <w:style w:type="character" w:customStyle="1" w:styleId="articletitle">
    <w:name w:val="articletitle"/>
    <w:basedOn w:val="DefaultParagraphFont"/>
    <w:rsid w:val="008B3392"/>
  </w:style>
  <w:style w:type="character" w:customStyle="1" w:styleId="vol">
    <w:name w:val="vol"/>
    <w:basedOn w:val="DefaultParagraphFont"/>
    <w:rsid w:val="008B3392"/>
  </w:style>
  <w:style w:type="character" w:customStyle="1" w:styleId="pagefirst">
    <w:name w:val="pagefirst"/>
    <w:basedOn w:val="DefaultParagraphFont"/>
    <w:rsid w:val="008B3392"/>
  </w:style>
  <w:style w:type="character" w:customStyle="1" w:styleId="pagelast">
    <w:name w:val="pagelast"/>
    <w:basedOn w:val="DefaultParagraphFont"/>
    <w:rsid w:val="008B3392"/>
  </w:style>
  <w:style w:type="character" w:customStyle="1" w:styleId="citedissue">
    <w:name w:val="citedissue"/>
    <w:basedOn w:val="DefaultParagraphFont"/>
    <w:rsid w:val="008B3392"/>
  </w:style>
  <w:style w:type="table" w:customStyle="1" w:styleId="PlainTable11">
    <w:name w:val="Plain Table 11"/>
    <w:basedOn w:val="TableNormal"/>
    <w:uiPriority w:val="41"/>
    <w:rsid w:val="008B33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semiHidden/>
    <w:rsid w:val="001737E4"/>
    <w:rPr>
      <w:rFonts w:asciiTheme="majorHAnsi" w:eastAsiaTheme="majorEastAsia" w:hAnsiTheme="majorHAnsi" w:cstheme="majorBidi"/>
      <w:color w:val="2E74B5" w:themeColor="accent1" w:themeShade="BF"/>
    </w:rPr>
  </w:style>
  <w:style w:type="table" w:customStyle="1" w:styleId="TableGridLight1">
    <w:name w:val="Table Grid Light1"/>
    <w:basedOn w:val="TableNormal"/>
    <w:uiPriority w:val="40"/>
    <w:rsid w:val="000D52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821EAF"/>
    <w:rPr>
      <w:rFonts w:asciiTheme="majorHAnsi" w:eastAsiaTheme="majorEastAsia" w:hAnsiTheme="majorHAnsi" w:cstheme="majorBidi"/>
      <w:color w:val="1F4D78" w:themeColor="accent1" w:themeShade="7F"/>
    </w:rPr>
  </w:style>
  <w:style w:type="numbering" w:customStyle="1" w:styleId="NoList1">
    <w:name w:val="No List1"/>
    <w:next w:val="NoList"/>
    <w:uiPriority w:val="99"/>
    <w:semiHidden/>
    <w:unhideWhenUsed/>
    <w:rsid w:val="00821EAF"/>
  </w:style>
  <w:style w:type="paragraph" w:customStyle="1" w:styleId="Style1">
    <w:name w:val="Style1"/>
    <w:basedOn w:val="Normal"/>
    <w:link w:val="Style1Char"/>
    <w:autoRedefine/>
    <w:qFormat/>
    <w:rsid w:val="00821EAF"/>
    <w:pPr>
      <w:bidi/>
      <w:spacing w:after="80"/>
      <w:ind w:left="2160"/>
      <w:jc w:val="both"/>
    </w:pPr>
    <w:rPr>
      <w:rFonts w:ascii="Jameel Noori Nastaleeq" w:eastAsiaTheme="minorEastAsia" w:hAnsi="Jameel Noori Nastaleeq" w:cs="Jameel Noori Nastaleeq"/>
      <w:sz w:val="24"/>
      <w:szCs w:val="24"/>
    </w:rPr>
  </w:style>
  <w:style w:type="paragraph" w:styleId="EndnoteText">
    <w:name w:val="endnote text"/>
    <w:basedOn w:val="Normal"/>
    <w:link w:val="EndnoteTextChar"/>
    <w:uiPriority w:val="99"/>
    <w:unhideWhenUsed/>
    <w:rsid w:val="00821EAF"/>
    <w:rPr>
      <w:sz w:val="20"/>
      <w:szCs w:val="20"/>
    </w:rPr>
  </w:style>
  <w:style w:type="character" w:customStyle="1" w:styleId="EndnoteTextChar">
    <w:name w:val="Endnote Text Char"/>
    <w:basedOn w:val="DefaultParagraphFont"/>
    <w:link w:val="EndnoteText"/>
    <w:uiPriority w:val="99"/>
    <w:rsid w:val="00821EAF"/>
    <w:rPr>
      <w:sz w:val="20"/>
      <w:szCs w:val="20"/>
    </w:rPr>
  </w:style>
  <w:style w:type="character" w:styleId="EndnoteReference">
    <w:name w:val="endnote reference"/>
    <w:basedOn w:val="DefaultParagraphFont"/>
    <w:uiPriority w:val="99"/>
    <w:semiHidden/>
    <w:unhideWhenUsed/>
    <w:rsid w:val="00821EAF"/>
    <w:rPr>
      <w:vertAlign w:val="superscript"/>
    </w:rPr>
  </w:style>
  <w:style w:type="character" w:customStyle="1" w:styleId="overflow-hidden">
    <w:name w:val="overflow-hidden"/>
    <w:basedOn w:val="DefaultParagraphFont"/>
    <w:rsid w:val="00821EAF"/>
  </w:style>
  <w:style w:type="table" w:customStyle="1" w:styleId="PlainTable51">
    <w:name w:val="Plain Table 51"/>
    <w:basedOn w:val="TableNormal"/>
    <w:uiPriority w:val="45"/>
    <w:rsid w:val="00113F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113F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7Char">
    <w:name w:val="Heading 7 Char"/>
    <w:basedOn w:val="DefaultParagraphFont"/>
    <w:link w:val="Heading7"/>
    <w:uiPriority w:val="9"/>
    <w:semiHidden/>
    <w:rsid w:val="00113F7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13F7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13F79"/>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unhideWhenUsed/>
    <w:rsid w:val="00113F79"/>
    <w:pPr>
      <w:spacing w:after="200" w:line="276" w:lineRule="auto"/>
    </w:pPr>
  </w:style>
  <w:style w:type="paragraph" w:styleId="TOC2">
    <w:name w:val="toc 2"/>
    <w:basedOn w:val="Normal"/>
    <w:next w:val="Normal"/>
    <w:autoRedefine/>
    <w:uiPriority w:val="39"/>
    <w:unhideWhenUsed/>
    <w:rsid w:val="00113F79"/>
    <w:pPr>
      <w:spacing w:after="100" w:line="276" w:lineRule="auto"/>
      <w:ind w:left="220"/>
    </w:pPr>
  </w:style>
  <w:style w:type="paragraph" w:styleId="TOC1">
    <w:name w:val="toc 1"/>
    <w:basedOn w:val="Normal"/>
    <w:next w:val="Normal"/>
    <w:autoRedefine/>
    <w:uiPriority w:val="39"/>
    <w:unhideWhenUsed/>
    <w:rsid w:val="00113F79"/>
    <w:pPr>
      <w:spacing w:after="100" w:line="276" w:lineRule="auto"/>
    </w:pPr>
  </w:style>
  <w:style w:type="paragraph" w:customStyle="1" w:styleId="Abstract">
    <w:name w:val="Abstract"/>
    <w:basedOn w:val="Normal"/>
    <w:next w:val="Normal"/>
    <w:qFormat/>
    <w:rsid w:val="00113F79"/>
    <w:pPr>
      <w:spacing w:before="360" w:after="300" w:line="360" w:lineRule="auto"/>
      <w:ind w:left="720" w:right="567"/>
      <w:contextualSpacing/>
    </w:pPr>
    <w:rPr>
      <w:rFonts w:ascii="Times New Roman" w:eastAsia="Times New Roman" w:hAnsi="Times New Roman" w:cs="Times New Roman"/>
      <w:szCs w:val="24"/>
      <w:lang w:val="en-GB" w:eastAsia="en-GB"/>
    </w:rPr>
  </w:style>
  <w:style w:type="character" w:customStyle="1" w:styleId="truncate">
    <w:name w:val="truncate"/>
    <w:basedOn w:val="DefaultParagraphFont"/>
    <w:rsid w:val="00113F79"/>
  </w:style>
  <w:style w:type="character" w:customStyle="1" w:styleId="relative">
    <w:name w:val="relative"/>
    <w:basedOn w:val="DefaultParagraphFont"/>
    <w:rsid w:val="00113F79"/>
  </w:style>
  <w:style w:type="paragraph" w:customStyle="1" w:styleId="EndNoteBibliographyTitle">
    <w:name w:val="EndNote Bibliography Title"/>
    <w:basedOn w:val="Normal"/>
    <w:link w:val="EndNoteBibliographyTitleChar"/>
    <w:rsid w:val="000B6784"/>
    <w:pPr>
      <w:spacing w:line="259" w:lineRule="auto"/>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B6784"/>
    <w:rPr>
      <w:rFonts w:ascii="Calibri" w:hAnsi="Calibri" w:cs="Calibri"/>
      <w:noProof/>
    </w:rPr>
  </w:style>
  <w:style w:type="paragraph" w:customStyle="1" w:styleId="EndNoteBibliography">
    <w:name w:val="EndNote Bibliography"/>
    <w:basedOn w:val="Normal"/>
    <w:link w:val="EndNoteBibliographyChar"/>
    <w:rsid w:val="000B6784"/>
    <w:pPr>
      <w:spacing w:after="160"/>
      <w:jc w:val="both"/>
    </w:pPr>
    <w:rPr>
      <w:rFonts w:ascii="Calibri" w:hAnsi="Calibri" w:cs="Calibri"/>
      <w:noProof/>
    </w:rPr>
  </w:style>
  <w:style w:type="character" w:customStyle="1" w:styleId="EndNoteBibliographyChar">
    <w:name w:val="EndNote Bibliography Char"/>
    <w:basedOn w:val="DefaultParagraphFont"/>
    <w:link w:val="EndNoteBibliography"/>
    <w:rsid w:val="000B6784"/>
    <w:rPr>
      <w:rFonts w:ascii="Calibri" w:hAnsi="Calibri" w:cs="Calibri"/>
      <w:noProof/>
    </w:rPr>
  </w:style>
  <w:style w:type="table" w:customStyle="1" w:styleId="GridTable3-Accent31">
    <w:name w:val="Grid Table 3 - Accent 31"/>
    <w:basedOn w:val="TableNormal"/>
    <w:uiPriority w:val="48"/>
    <w:rsid w:val="00802D2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4-Accent31">
    <w:name w:val="Grid Table 4 - Accent 31"/>
    <w:basedOn w:val="TableNormal"/>
    <w:uiPriority w:val="49"/>
    <w:rsid w:val="00802D2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1">
    <w:name w:val="List Table 6 Colorful1"/>
    <w:basedOn w:val="TableNormal"/>
    <w:uiPriority w:val="51"/>
    <w:rsid w:val="00FF271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31">
    <w:name w:val="Grid Table 5 Dark - Accent 31"/>
    <w:basedOn w:val="TableNormal"/>
    <w:uiPriority w:val="50"/>
    <w:rsid w:val="00FF27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2-Accent31">
    <w:name w:val="List Table 2 - Accent 31"/>
    <w:basedOn w:val="TableNormal"/>
    <w:uiPriority w:val="47"/>
    <w:rsid w:val="00FF271F"/>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Grid">
    <w:name w:val="Light Grid"/>
    <w:basedOn w:val="TableNormal"/>
    <w:uiPriority w:val="62"/>
    <w:rsid w:val="002127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rsid w:val="002127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2127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UnresolvedMention1">
    <w:name w:val="Unresolved Mention1"/>
    <w:basedOn w:val="DefaultParagraphFont"/>
    <w:uiPriority w:val="99"/>
    <w:semiHidden/>
    <w:unhideWhenUsed/>
    <w:rsid w:val="002127A3"/>
    <w:rPr>
      <w:color w:val="605E5C"/>
      <w:shd w:val="clear" w:color="auto" w:fill="E1DFDD"/>
    </w:rPr>
  </w:style>
  <w:style w:type="paragraph" w:styleId="BodyText">
    <w:name w:val="Body Text"/>
    <w:basedOn w:val="Normal"/>
    <w:link w:val="BodyTextChar"/>
    <w:uiPriority w:val="1"/>
    <w:qFormat/>
    <w:rsid w:val="00E30369"/>
    <w:pPr>
      <w:widowControl w:val="0"/>
      <w:autoSpaceDE w:val="0"/>
      <w:autoSpaceDN w:val="0"/>
      <w:jc w:val="both"/>
    </w:pPr>
    <w:rPr>
      <w:rFonts w:ascii="Times New Roman" w:eastAsia="Times New Roman" w:hAnsi="Times New Roman" w:cs="Times New Roman"/>
      <w:color w:val="000000" w:themeColor="text1"/>
      <w:sz w:val="24"/>
      <w:szCs w:val="24"/>
    </w:rPr>
  </w:style>
  <w:style w:type="character" w:customStyle="1" w:styleId="BodyTextChar">
    <w:name w:val="Body Text Char"/>
    <w:basedOn w:val="DefaultParagraphFont"/>
    <w:link w:val="BodyText"/>
    <w:uiPriority w:val="1"/>
    <w:rsid w:val="00E30369"/>
    <w:rPr>
      <w:rFonts w:ascii="Times New Roman" w:eastAsia="Times New Roman" w:hAnsi="Times New Roman" w:cs="Times New Roman"/>
      <w:color w:val="000000" w:themeColor="text1"/>
      <w:sz w:val="24"/>
      <w:szCs w:val="24"/>
    </w:rPr>
  </w:style>
  <w:style w:type="character" w:customStyle="1" w:styleId="ListParagraphChar">
    <w:name w:val="List Paragraph Char"/>
    <w:basedOn w:val="DefaultParagraphFont"/>
    <w:link w:val="ListParagraph"/>
    <w:uiPriority w:val="34"/>
    <w:rsid w:val="00E30369"/>
  </w:style>
  <w:style w:type="character" w:customStyle="1" w:styleId="Style1Char">
    <w:name w:val="Style1 Char"/>
    <w:basedOn w:val="ListParagraphChar"/>
    <w:link w:val="Style1"/>
    <w:rsid w:val="00E30369"/>
    <w:rPr>
      <w:rFonts w:ascii="Jameel Noori Nastaleeq" w:eastAsiaTheme="minorEastAsia" w:hAnsi="Jameel Noori Nastaleeq" w:cs="Jameel Noori Nastaleeq"/>
      <w:sz w:val="24"/>
      <w:szCs w:val="24"/>
    </w:rPr>
  </w:style>
  <w:style w:type="paragraph" w:customStyle="1" w:styleId="Default">
    <w:name w:val="Default"/>
    <w:qFormat/>
    <w:rsid w:val="00862D83"/>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Heading11">
    <w:name w:val="Heading 11"/>
    <w:basedOn w:val="Normal"/>
    <w:next w:val="Normal"/>
    <w:uiPriority w:val="9"/>
    <w:qFormat/>
    <w:rsid w:val="00862D83"/>
    <w:pPr>
      <w:keepNext/>
      <w:keepLines/>
      <w:spacing w:before="480" w:line="276" w:lineRule="auto"/>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semiHidden/>
    <w:unhideWhenUsed/>
    <w:qFormat/>
    <w:rsid w:val="00862D83"/>
    <w:pPr>
      <w:keepNext/>
      <w:keepLines/>
      <w:spacing w:before="200" w:line="276" w:lineRule="auto"/>
      <w:outlineLvl w:val="1"/>
    </w:pPr>
    <w:rPr>
      <w:rFonts w:ascii="Cambria" w:eastAsia="Times New Roman" w:hAnsi="Cambria" w:cs="Times New Roman"/>
      <w:b/>
      <w:bCs/>
      <w:color w:val="4F81BD"/>
      <w:sz w:val="26"/>
      <w:szCs w:val="26"/>
    </w:rPr>
  </w:style>
  <w:style w:type="paragraph" w:customStyle="1" w:styleId="normal1">
    <w:name w:val="normal1"/>
    <w:next w:val="NoSpacing"/>
    <w:link w:val="NoSpacingChar"/>
    <w:uiPriority w:val="1"/>
    <w:qFormat/>
    <w:rsid w:val="00862D83"/>
    <w:pPr>
      <w:keepNext/>
      <w:keepLines/>
      <w:spacing w:before="200" w:after="0" w:line="240" w:lineRule="auto"/>
      <w:outlineLvl w:val="1"/>
    </w:pPr>
    <w:rPr>
      <w:rFonts w:ascii="Times New Roman" w:hAnsi="Times New Roman" w:cs="Times New Roman"/>
      <w:bCs/>
      <w:sz w:val="24"/>
      <w:szCs w:val="26"/>
    </w:rPr>
  </w:style>
  <w:style w:type="character" w:customStyle="1" w:styleId="NoSpacingChar">
    <w:name w:val="No Spacing Char"/>
    <w:aliases w:val="heading 2 Char,normal Char"/>
    <w:basedOn w:val="DefaultParagraphFont"/>
    <w:link w:val="normal1"/>
    <w:uiPriority w:val="1"/>
    <w:rsid w:val="00862D83"/>
    <w:rPr>
      <w:rFonts w:ascii="Times New Roman" w:hAnsi="Times New Roman" w:cs="Times New Roman"/>
      <w:bCs/>
      <w:sz w:val="24"/>
      <w:szCs w:val="26"/>
    </w:rPr>
  </w:style>
  <w:style w:type="character" w:customStyle="1" w:styleId="Hyperlink1">
    <w:name w:val="Hyperlink1"/>
    <w:basedOn w:val="DefaultParagraphFont"/>
    <w:uiPriority w:val="99"/>
    <w:unhideWhenUsed/>
    <w:rsid w:val="00862D83"/>
    <w:rPr>
      <w:color w:val="0000FF"/>
      <w:u w:val="single"/>
    </w:rPr>
  </w:style>
  <w:style w:type="character" w:customStyle="1" w:styleId="SubtleEmphasis1">
    <w:name w:val="Subtle Emphasis1"/>
    <w:basedOn w:val="DefaultParagraphFont"/>
    <w:uiPriority w:val="19"/>
    <w:qFormat/>
    <w:rsid w:val="00862D83"/>
    <w:rPr>
      <w:i/>
      <w:iCs/>
      <w:color w:val="808080"/>
    </w:rPr>
  </w:style>
  <w:style w:type="character" w:customStyle="1" w:styleId="contentauthor--name">
    <w:name w:val="content__author--name"/>
    <w:basedOn w:val="DefaultParagraphFont"/>
    <w:rsid w:val="00862D83"/>
  </w:style>
  <w:style w:type="character" w:customStyle="1" w:styleId="contentauthor--date">
    <w:name w:val="content__author--date"/>
    <w:basedOn w:val="DefaultParagraphFont"/>
    <w:rsid w:val="00862D83"/>
  </w:style>
  <w:style w:type="table" w:customStyle="1" w:styleId="TableGrid1">
    <w:name w:val="Table Grid1"/>
    <w:basedOn w:val="TableNormal"/>
    <w:next w:val="TableGrid"/>
    <w:uiPriority w:val="59"/>
    <w:rsid w:val="00862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862D83"/>
  </w:style>
  <w:style w:type="character" w:customStyle="1" w:styleId="css-x5hiaf">
    <w:name w:val="css-x5hiaf"/>
    <w:basedOn w:val="DefaultParagraphFont"/>
    <w:rsid w:val="00862D83"/>
  </w:style>
  <w:style w:type="character" w:customStyle="1" w:styleId="css-rh820s">
    <w:name w:val="css-rh820s"/>
    <w:basedOn w:val="DefaultParagraphFont"/>
    <w:rsid w:val="00862D83"/>
  </w:style>
  <w:style w:type="character" w:customStyle="1" w:styleId="css-0">
    <w:name w:val="css-0"/>
    <w:basedOn w:val="DefaultParagraphFont"/>
    <w:rsid w:val="00862D83"/>
  </w:style>
  <w:style w:type="character" w:customStyle="1" w:styleId="css-1eh0vfs">
    <w:name w:val="css-1eh0vfs"/>
    <w:basedOn w:val="DefaultParagraphFont"/>
    <w:rsid w:val="00862D83"/>
  </w:style>
  <w:style w:type="character" w:customStyle="1" w:styleId="css-15iwe0d">
    <w:name w:val="css-15iwe0d"/>
    <w:basedOn w:val="DefaultParagraphFont"/>
    <w:rsid w:val="00862D83"/>
  </w:style>
  <w:style w:type="character" w:customStyle="1" w:styleId="css-2yp7ui">
    <w:name w:val="css-2yp7ui"/>
    <w:basedOn w:val="DefaultParagraphFont"/>
    <w:rsid w:val="00862D83"/>
  </w:style>
  <w:style w:type="character" w:customStyle="1" w:styleId="css-1ber87j">
    <w:name w:val="css-1ber87j"/>
    <w:basedOn w:val="DefaultParagraphFont"/>
    <w:rsid w:val="00862D83"/>
  </w:style>
  <w:style w:type="character" w:customStyle="1" w:styleId="citationsource-journal">
    <w:name w:val="citation_source-journal"/>
    <w:basedOn w:val="DefaultParagraphFont"/>
    <w:rsid w:val="00862D83"/>
  </w:style>
  <w:style w:type="character" w:customStyle="1" w:styleId="truncatedauthor">
    <w:name w:val="truncatedauthor"/>
    <w:basedOn w:val="DefaultParagraphFont"/>
    <w:rsid w:val="00862D83"/>
  </w:style>
  <w:style w:type="character" w:customStyle="1" w:styleId="roboto-bold">
    <w:name w:val="roboto-bold"/>
    <w:basedOn w:val="DefaultParagraphFont"/>
    <w:rsid w:val="00862D83"/>
  </w:style>
  <w:style w:type="character" w:customStyle="1" w:styleId="reportserial">
    <w:name w:val="reportserial"/>
    <w:basedOn w:val="DefaultParagraphFont"/>
    <w:rsid w:val="00862D83"/>
  </w:style>
  <w:style w:type="character" w:customStyle="1" w:styleId="ff6">
    <w:name w:val="ff6"/>
    <w:basedOn w:val="DefaultParagraphFont"/>
    <w:rsid w:val="00862D83"/>
  </w:style>
  <w:style w:type="paragraph" w:customStyle="1" w:styleId="Subtitle1">
    <w:name w:val="Subtitle1"/>
    <w:basedOn w:val="Normal"/>
    <w:next w:val="Normal"/>
    <w:uiPriority w:val="11"/>
    <w:qFormat/>
    <w:rsid w:val="00862D83"/>
    <w:pPr>
      <w:numPr>
        <w:ilvl w:val="1"/>
      </w:numPr>
      <w:spacing w:after="160" w:line="276" w:lineRule="auto"/>
    </w:pPr>
    <w:rPr>
      <w:rFonts w:eastAsia="Times New Roman"/>
      <w:color w:val="5A5A5A"/>
      <w:spacing w:val="15"/>
    </w:rPr>
  </w:style>
  <w:style w:type="character" w:customStyle="1" w:styleId="SubtitleChar">
    <w:name w:val="Subtitle Char"/>
    <w:basedOn w:val="DefaultParagraphFont"/>
    <w:link w:val="Subtitle"/>
    <w:uiPriority w:val="11"/>
    <w:rsid w:val="00862D83"/>
    <w:rPr>
      <w:color w:val="5A5A5A"/>
      <w:spacing w:val="15"/>
    </w:rPr>
  </w:style>
  <w:style w:type="character" w:customStyle="1" w:styleId="Heading2Char1">
    <w:name w:val="Heading 2 Char1"/>
    <w:basedOn w:val="DefaultParagraphFont"/>
    <w:uiPriority w:val="9"/>
    <w:semiHidden/>
    <w:rsid w:val="00862D83"/>
    <w:rPr>
      <w:rFonts w:asciiTheme="majorHAnsi" w:eastAsiaTheme="majorEastAsia" w:hAnsiTheme="majorHAnsi" w:cstheme="majorBidi"/>
      <w:b/>
      <w:bCs/>
      <w:color w:val="5B9BD5" w:themeColor="accent1"/>
      <w:sz w:val="26"/>
      <w:szCs w:val="26"/>
    </w:rPr>
  </w:style>
  <w:style w:type="character" w:customStyle="1" w:styleId="Heading1Char1">
    <w:name w:val="Heading 1 Char1"/>
    <w:basedOn w:val="DefaultParagraphFont"/>
    <w:uiPriority w:val="9"/>
    <w:rsid w:val="00862D83"/>
    <w:rPr>
      <w:rFonts w:asciiTheme="majorHAnsi" w:eastAsiaTheme="majorEastAsia" w:hAnsiTheme="majorHAnsi" w:cstheme="majorBidi"/>
      <w:b/>
      <w:bCs/>
      <w:color w:val="2E74B5" w:themeColor="accent1" w:themeShade="BF"/>
      <w:sz w:val="28"/>
      <w:szCs w:val="28"/>
    </w:rPr>
  </w:style>
  <w:style w:type="character" w:styleId="SubtleEmphasis">
    <w:name w:val="Subtle Emphasis"/>
    <w:basedOn w:val="DefaultParagraphFont"/>
    <w:uiPriority w:val="19"/>
    <w:qFormat/>
    <w:rsid w:val="00862D83"/>
    <w:rPr>
      <w:i/>
      <w:iCs/>
      <w:color w:val="808080" w:themeColor="text1" w:themeTint="7F"/>
    </w:rPr>
  </w:style>
  <w:style w:type="paragraph" w:styleId="Subtitle">
    <w:name w:val="Subtitle"/>
    <w:basedOn w:val="Normal"/>
    <w:next w:val="Normal"/>
    <w:link w:val="SubtitleChar"/>
    <w:uiPriority w:val="11"/>
    <w:qFormat/>
    <w:rsid w:val="00862D83"/>
    <w:pPr>
      <w:numPr>
        <w:ilvl w:val="1"/>
      </w:numPr>
      <w:spacing w:after="200" w:line="276" w:lineRule="auto"/>
    </w:pPr>
    <w:rPr>
      <w:color w:val="5A5A5A"/>
      <w:spacing w:val="15"/>
    </w:rPr>
  </w:style>
  <w:style w:type="character" w:customStyle="1" w:styleId="SubtitleChar1">
    <w:name w:val="Subtitle Char1"/>
    <w:basedOn w:val="DefaultParagraphFont"/>
    <w:uiPriority w:val="11"/>
    <w:rsid w:val="00862D83"/>
    <w:rPr>
      <w:rFonts w:eastAsiaTheme="minorEastAsia"/>
      <w:color w:val="5A5A5A" w:themeColor="text1" w:themeTint="A5"/>
      <w:spacing w:val="15"/>
    </w:rPr>
  </w:style>
  <w:style w:type="table" w:customStyle="1" w:styleId="TableGrid2">
    <w:name w:val="Table Grid2"/>
    <w:basedOn w:val="TableNormal"/>
    <w:next w:val="TableGrid"/>
    <w:uiPriority w:val="59"/>
    <w:rsid w:val="00862D83"/>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62D83"/>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62D8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51">
    <w:name w:val="Grid Table 3 - Accent 51"/>
    <w:basedOn w:val="TableNormal"/>
    <w:uiPriority w:val="48"/>
    <w:rsid w:val="00862D8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4-Accent51">
    <w:name w:val="Grid Table 4 - Accent 51"/>
    <w:basedOn w:val="TableNormal"/>
    <w:uiPriority w:val="49"/>
    <w:rsid w:val="007428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3-Accent52">
    <w:name w:val="Grid Table 3 - Accent 52"/>
    <w:basedOn w:val="TableNormal"/>
    <w:uiPriority w:val="48"/>
    <w:rsid w:val="001D3D9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2-Accent51">
    <w:name w:val="Grid Table 2 - Accent 51"/>
    <w:basedOn w:val="TableNormal"/>
    <w:uiPriority w:val="47"/>
    <w:rsid w:val="001D3D9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2">
    <w:name w:val="No List2"/>
    <w:next w:val="NoList"/>
    <w:uiPriority w:val="99"/>
    <w:semiHidden/>
    <w:unhideWhenUsed/>
    <w:rsid w:val="00EC47E8"/>
  </w:style>
  <w:style w:type="character" w:customStyle="1" w:styleId="verse">
    <w:name w:val="verse"/>
    <w:basedOn w:val="DefaultParagraphFont"/>
    <w:rsid w:val="00EC47E8"/>
  </w:style>
  <w:style w:type="paragraph" w:customStyle="1" w:styleId="TableParagraph">
    <w:name w:val="Table Paragraph"/>
    <w:basedOn w:val="Normal"/>
    <w:uiPriority w:val="1"/>
    <w:qFormat/>
    <w:rsid w:val="0087393B"/>
    <w:pPr>
      <w:widowControl w:val="0"/>
      <w:autoSpaceDE w:val="0"/>
      <w:autoSpaceDN w:val="0"/>
      <w:spacing w:before="26"/>
      <w:ind w:left="122"/>
    </w:pPr>
    <w:rPr>
      <w:rFonts w:ascii="Times New Roman" w:eastAsia="Times New Roman" w:hAnsi="Times New Roman" w:cs="Times New Roman"/>
    </w:rPr>
  </w:style>
  <w:style w:type="table" w:customStyle="1" w:styleId="PlainTable41">
    <w:name w:val="Plain Table 41"/>
    <w:basedOn w:val="TableNormal"/>
    <w:uiPriority w:val="44"/>
    <w:rsid w:val="0022145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22145A"/>
    <w:rPr>
      <w:color w:val="808080"/>
    </w:rPr>
  </w:style>
  <w:style w:type="character" w:customStyle="1" w:styleId="react-xocs-alternative-link">
    <w:name w:val="react-xocs-alternative-link"/>
    <w:basedOn w:val="DefaultParagraphFont"/>
    <w:rsid w:val="0022145A"/>
  </w:style>
  <w:style w:type="character" w:customStyle="1" w:styleId="e24kjd">
    <w:name w:val="e24kjd"/>
    <w:basedOn w:val="DefaultParagraphFont"/>
    <w:rsid w:val="0022145A"/>
  </w:style>
  <w:style w:type="character" w:styleId="CommentReference">
    <w:name w:val="annotation reference"/>
    <w:basedOn w:val="DefaultParagraphFont"/>
    <w:uiPriority w:val="99"/>
    <w:semiHidden/>
    <w:unhideWhenUsed/>
    <w:rsid w:val="0022145A"/>
    <w:rPr>
      <w:sz w:val="16"/>
      <w:szCs w:val="16"/>
    </w:rPr>
  </w:style>
  <w:style w:type="paragraph" w:styleId="CommentText">
    <w:name w:val="annotation text"/>
    <w:basedOn w:val="Normal"/>
    <w:link w:val="CommentTextChar"/>
    <w:uiPriority w:val="99"/>
    <w:semiHidden/>
    <w:unhideWhenUsed/>
    <w:rsid w:val="0022145A"/>
    <w:pPr>
      <w:spacing w:after="160"/>
    </w:pPr>
    <w:rPr>
      <w:sz w:val="20"/>
      <w:szCs w:val="20"/>
    </w:rPr>
  </w:style>
  <w:style w:type="character" w:customStyle="1" w:styleId="CommentTextChar">
    <w:name w:val="Comment Text Char"/>
    <w:basedOn w:val="DefaultParagraphFont"/>
    <w:link w:val="CommentText"/>
    <w:uiPriority w:val="99"/>
    <w:semiHidden/>
    <w:rsid w:val="0022145A"/>
    <w:rPr>
      <w:sz w:val="20"/>
      <w:szCs w:val="20"/>
    </w:rPr>
  </w:style>
  <w:style w:type="paragraph" w:styleId="CommentSubject">
    <w:name w:val="annotation subject"/>
    <w:basedOn w:val="CommentText"/>
    <w:next w:val="CommentText"/>
    <w:link w:val="CommentSubjectChar"/>
    <w:uiPriority w:val="99"/>
    <w:semiHidden/>
    <w:unhideWhenUsed/>
    <w:rsid w:val="0022145A"/>
    <w:rPr>
      <w:b/>
      <w:bCs/>
    </w:rPr>
  </w:style>
  <w:style w:type="character" w:customStyle="1" w:styleId="CommentSubjectChar">
    <w:name w:val="Comment Subject Char"/>
    <w:basedOn w:val="CommentTextChar"/>
    <w:link w:val="CommentSubject"/>
    <w:uiPriority w:val="99"/>
    <w:semiHidden/>
    <w:rsid w:val="0022145A"/>
    <w:rPr>
      <w:b/>
      <w:bCs/>
      <w:sz w:val="20"/>
      <w:szCs w:val="20"/>
    </w:rPr>
  </w:style>
  <w:style w:type="table" w:customStyle="1" w:styleId="GridTable1Light-Accent51">
    <w:name w:val="Grid Table 1 Light - Accent 51"/>
    <w:basedOn w:val="TableNormal"/>
    <w:uiPriority w:val="46"/>
    <w:rsid w:val="0022145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5Dark-Accent11">
    <w:name w:val="Grid Table 5 Dark - Accent 11"/>
    <w:basedOn w:val="TableNormal"/>
    <w:uiPriority w:val="50"/>
    <w:rsid w:val="002214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
    <w:name w:val="Grid Table 4 - Accent 11"/>
    <w:basedOn w:val="TableNormal"/>
    <w:uiPriority w:val="49"/>
    <w:rsid w:val="0022145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itle">
    <w:name w:val="Title"/>
    <w:basedOn w:val="Normal"/>
    <w:link w:val="TitleChar"/>
    <w:uiPriority w:val="10"/>
    <w:qFormat/>
    <w:rsid w:val="001D77D8"/>
    <w:pPr>
      <w:widowControl w:val="0"/>
      <w:autoSpaceDE w:val="0"/>
      <w:autoSpaceDN w:val="0"/>
      <w:spacing w:before="56"/>
      <w:ind w:left="936" w:right="1694"/>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1D77D8"/>
    <w:rPr>
      <w:rFonts w:ascii="Times New Roman" w:eastAsia="Times New Roman" w:hAnsi="Times New Roman" w:cs="Times New Roman"/>
      <w:b/>
      <w:bCs/>
      <w:sz w:val="32"/>
      <w:szCs w:val="32"/>
    </w:rPr>
  </w:style>
  <w:style w:type="character" w:customStyle="1" w:styleId="blackclass1">
    <w:name w:val="blackclass1"/>
    <w:basedOn w:val="DefaultParagraphFont"/>
    <w:rsid w:val="001D77D8"/>
    <w:rPr>
      <w:color w:val="000000"/>
    </w:rPr>
  </w:style>
  <w:style w:type="paragraph" w:customStyle="1" w:styleId="Affiliation">
    <w:name w:val="Affiliation"/>
    <w:basedOn w:val="Normal"/>
    <w:link w:val="AffiliationChar"/>
    <w:qFormat/>
    <w:rsid w:val="001D77D8"/>
    <w:pPr>
      <w:spacing w:line="360" w:lineRule="auto"/>
      <w:jc w:val="center"/>
    </w:pPr>
    <w:rPr>
      <w:rFonts w:ascii="Times New Roman" w:hAnsi="Times New Roman" w:cs="Times New Roman"/>
      <w:sz w:val="24"/>
      <w:szCs w:val="24"/>
    </w:rPr>
  </w:style>
  <w:style w:type="character" w:customStyle="1" w:styleId="AffiliationChar">
    <w:name w:val="Affiliation Char"/>
    <w:basedOn w:val="DefaultParagraphFont"/>
    <w:link w:val="Affiliation"/>
    <w:rsid w:val="001D77D8"/>
    <w:rPr>
      <w:rFonts w:ascii="Times New Roman" w:hAnsi="Times New Roman" w:cs="Times New Roman"/>
      <w:sz w:val="24"/>
      <w:szCs w:val="24"/>
    </w:rPr>
  </w:style>
  <w:style w:type="table" w:customStyle="1" w:styleId="GridTable5Dark-Accent51">
    <w:name w:val="Grid Table 5 Dark - Accent 51"/>
    <w:basedOn w:val="TableNormal"/>
    <w:uiPriority w:val="50"/>
    <w:rsid w:val="001D77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Chapter">
    <w:name w:val="Chapter"/>
    <w:basedOn w:val="Normal"/>
    <w:next w:val="Normal"/>
    <w:link w:val="ChapterChar"/>
    <w:qFormat/>
    <w:rsid w:val="00222C3A"/>
    <w:pPr>
      <w:keepLines/>
      <w:pageBreakBefore/>
      <w:spacing w:after="160" w:line="360" w:lineRule="auto"/>
      <w:ind w:firstLine="720"/>
      <w:jc w:val="center"/>
    </w:pPr>
    <w:rPr>
      <w:rFonts w:ascii="Times New Roman" w:eastAsia="Calibri" w:hAnsi="Times New Roman" w:cs="Times New Roman"/>
      <w:b/>
      <w:sz w:val="40"/>
      <w:szCs w:val="40"/>
    </w:rPr>
  </w:style>
  <w:style w:type="character" w:customStyle="1" w:styleId="ChapterChar">
    <w:name w:val="Chapter Char"/>
    <w:link w:val="Chapter"/>
    <w:rsid w:val="00222C3A"/>
    <w:rPr>
      <w:rFonts w:ascii="Times New Roman" w:eastAsia="Calibri" w:hAnsi="Times New Roman" w:cs="Times New Roman"/>
      <w:b/>
      <w:sz w:val="40"/>
      <w:szCs w:val="40"/>
    </w:rPr>
  </w:style>
  <w:style w:type="table" w:customStyle="1" w:styleId="TableGrid8">
    <w:name w:val="Table Grid8"/>
    <w:basedOn w:val="TableNormal"/>
    <w:uiPriority w:val="59"/>
    <w:rsid w:val="00222C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chapter">
    <w:name w:val="nonchapter"/>
    <w:basedOn w:val="Normal"/>
    <w:link w:val="nonchapterChar"/>
    <w:qFormat/>
    <w:rsid w:val="00222C3A"/>
    <w:pPr>
      <w:spacing w:after="200" w:line="360" w:lineRule="auto"/>
      <w:jc w:val="center"/>
    </w:pPr>
    <w:rPr>
      <w:rFonts w:ascii="Times New Roman" w:eastAsia="Times New Roman" w:hAnsi="Times New Roman" w:cs="Times New Roman"/>
      <w:b/>
      <w:bCs/>
      <w:noProof/>
      <w:sz w:val="40"/>
      <w:szCs w:val="40"/>
    </w:rPr>
  </w:style>
  <w:style w:type="character" w:customStyle="1" w:styleId="nonchapterChar">
    <w:name w:val="nonchapter Char"/>
    <w:link w:val="nonchapter"/>
    <w:rsid w:val="00222C3A"/>
    <w:rPr>
      <w:rFonts w:ascii="Times New Roman" w:eastAsia="Times New Roman" w:hAnsi="Times New Roman" w:cs="Times New Roman"/>
      <w:b/>
      <w:bCs/>
      <w:noProof/>
      <w:sz w:val="40"/>
      <w:szCs w:val="40"/>
    </w:rPr>
  </w:style>
  <w:style w:type="paragraph" w:customStyle="1" w:styleId="Bibliography1">
    <w:name w:val="Bibliography1"/>
    <w:basedOn w:val="Normal"/>
    <w:next w:val="Normal"/>
    <w:uiPriority w:val="37"/>
    <w:unhideWhenUsed/>
    <w:rsid w:val="002F7CC7"/>
    <w:pPr>
      <w:spacing w:after="200" w:line="276" w:lineRule="auto"/>
    </w:pPr>
    <w:rPr>
      <w:rFonts w:ascii="Calibri" w:eastAsia="Calibri" w:hAnsi="Calibri" w:cs="Arial"/>
    </w:rPr>
  </w:style>
  <w:style w:type="paragraph" w:customStyle="1" w:styleId="TOCHeading1">
    <w:name w:val="TOC Heading1"/>
    <w:basedOn w:val="Heading1"/>
    <w:next w:val="Normal"/>
    <w:uiPriority w:val="39"/>
    <w:unhideWhenUsed/>
    <w:qFormat/>
    <w:rsid w:val="002F7CC7"/>
    <w:pPr>
      <w:outlineLvl w:val="9"/>
    </w:pPr>
    <w:rPr>
      <w:color w:val="365F91"/>
      <w:lang w:eastAsia="ja-JP"/>
    </w:rPr>
  </w:style>
  <w:style w:type="table" w:styleId="PlainTable2">
    <w:name w:val="Plain Table 2"/>
    <w:basedOn w:val="TableNormal"/>
    <w:uiPriority w:val="42"/>
    <w:rsid w:val="00D944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5">
    <w:name w:val="Grid Table 1 Light Accent 5"/>
    <w:basedOn w:val="TableNormal"/>
    <w:uiPriority w:val="46"/>
    <w:rsid w:val="00D9447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4D7D97"/>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D7D97"/>
    <w:rPr>
      <w:i/>
      <w:iCs/>
      <w:color w:val="404040" w:themeColor="text1" w:themeTint="BF"/>
      <w:kern w:val="2"/>
      <w14:ligatures w14:val="standardContextual"/>
    </w:rPr>
  </w:style>
  <w:style w:type="character" w:styleId="IntenseEmphasis">
    <w:name w:val="Intense Emphasis"/>
    <w:basedOn w:val="DefaultParagraphFont"/>
    <w:uiPriority w:val="21"/>
    <w:qFormat/>
    <w:rsid w:val="004D7D97"/>
    <w:rPr>
      <w:i/>
      <w:iCs/>
      <w:color w:val="2E74B5" w:themeColor="accent1" w:themeShade="BF"/>
    </w:rPr>
  </w:style>
  <w:style w:type="paragraph" w:styleId="IntenseQuote">
    <w:name w:val="Intense Quote"/>
    <w:basedOn w:val="Normal"/>
    <w:next w:val="Normal"/>
    <w:link w:val="IntenseQuoteChar"/>
    <w:uiPriority w:val="30"/>
    <w:qFormat/>
    <w:rsid w:val="004D7D97"/>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4D7D97"/>
    <w:rPr>
      <w:i/>
      <w:iCs/>
      <w:color w:val="2E74B5" w:themeColor="accent1" w:themeShade="BF"/>
      <w:kern w:val="2"/>
      <w14:ligatures w14:val="standardContextual"/>
    </w:rPr>
  </w:style>
  <w:style w:type="character" w:styleId="IntenseReference">
    <w:name w:val="Intense Reference"/>
    <w:basedOn w:val="DefaultParagraphFont"/>
    <w:uiPriority w:val="32"/>
    <w:qFormat/>
    <w:rsid w:val="004D7D97"/>
    <w:rPr>
      <w:b/>
      <w:bCs/>
      <w:smallCaps/>
      <w:color w:val="2E74B5" w:themeColor="accent1" w:themeShade="BF"/>
      <w:spacing w:val="5"/>
    </w:rPr>
  </w:style>
  <w:style w:type="paragraph" w:styleId="Caption">
    <w:name w:val="caption"/>
    <w:basedOn w:val="Normal"/>
    <w:next w:val="Normal"/>
    <w:uiPriority w:val="35"/>
    <w:unhideWhenUsed/>
    <w:qFormat/>
    <w:rsid w:val="004D7D97"/>
    <w:pPr>
      <w:spacing w:after="200"/>
    </w:pPr>
    <w:rPr>
      <w:rFonts w:eastAsiaTheme="minorEastAsia"/>
      <w:b/>
      <w:bCs/>
      <w:color w:val="5B9BD5" w:themeColor="accent1"/>
      <w:sz w:val="18"/>
      <w:szCs w:val="18"/>
    </w:rPr>
  </w:style>
  <w:style w:type="paragraph" w:styleId="DocumentMap">
    <w:name w:val="Document Map"/>
    <w:basedOn w:val="Normal"/>
    <w:link w:val="DocumentMapChar"/>
    <w:uiPriority w:val="99"/>
    <w:semiHidden/>
    <w:unhideWhenUsed/>
    <w:rsid w:val="004D7D97"/>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4D7D97"/>
    <w:rPr>
      <w:rFonts w:ascii="Tahoma" w:eastAsiaTheme="minorEastAsia" w:hAnsi="Tahoma" w:cs="Tahoma"/>
      <w:sz w:val="16"/>
      <w:szCs w:val="16"/>
    </w:rPr>
  </w:style>
  <w:style w:type="paragraph" w:styleId="TOC3">
    <w:name w:val="toc 3"/>
    <w:basedOn w:val="Normal"/>
    <w:next w:val="Normal"/>
    <w:autoRedefine/>
    <w:uiPriority w:val="39"/>
    <w:unhideWhenUsed/>
    <w:rsid w:val="004D7D97"/>
    <w:pPr>
      <w:spacing w:after="100" w:line="276" w:lineRule="auto"/>
      <w:ind w:left="440"/>
    </w:pPr>
    <w:rPr>
      <w:rFonts w:eastAsiaTheme="minorEastAsia"/>
    </w:rPr>
  </w:style>
  <w:style w:type="paragraph" w:styleId="TableofFigures">
    <w:name w:val="table of figures"/>
    <w:basedOn w:val="Normal"/>
    <w:next w:val="Normal"/>
    <w:uiPriority w:val="99"/>
    <w:unhideWhenUsed/>
    <w:rsid w:val="004D7D97"/>
    <w:pPr>
      <w:spacing w:line="276" w:lineRule="auto"/>
    </w:pPr>
    <w:rPr>
      <w:rFonts w:eastAsiaTheme="minorEastAsia"/>
    </w:rPr>
  </w:style>
  <w:style w:type="table" w:styleId="GridTable3-Accent5">
    <w:name w:val="Grid Table 3 Accent 5"/>
    <w:basedOn w:val="TableNormal"/>
    <w:uiPriority w:val="48"/>
    <w:rsid w:val="007E70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2-Accent5">
    <w:name w:val="Grid Table 2 Accent 5"/>
    <w:basedOn w:val="TableNormal"/>
    <w:uiPriority w:val="47"/>
    <w:rsid w:val="00F353DB"/>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0">
    <w:name w:val="TableGrid"/>
    <w:rsid w:val="00FD0D32"/>
    <w:pPr>
      <w:spacing w:after="0" w:line="240" w:lineRule="auto"/>
    </w:pPr>
    <w:rPr>
      <w:rFonts w:eastAsia="Times New Roman"/>
      <w:kern w:val="2"/>
      <w:lang w:val="en-GB" w:eastAsia="en-GB"/>
      <w14:ligatures w14:val="standardContextual"/>
    </w:rPr>
    <w:tblPr>
      <w:tblCellMar>
        <w:top w:w="0" w:type="dxa"/>
        <w:left w:w="0" w:type="dxa"/>
        <w:bottom w:w="0" w:type="dxa"/>
        <w:right w:w="0" w:type="dxa"/>
      </w:tblCellMar>
    </w:tblPr>
  </w:style>
  <w:style w:type="numbering" w:customStyle="1" w:styleId="NoList11">
    <w:name w:val="No List11"/>
    <w:next w:val="NoList"/>
    <w:uiPriority w:val="99"/>
    <w:semiHidden/>
    <w:unhideWhenUsed/>
    <w:rsid w:val="00FD0D32"/>
  </w:style>
  <w:style w:type="paragraph" w:customStyle="1" w:styleId="Header1">
    <w:name w:val="Header1"/>
    <w:basedOn w:val="Normal"/>
    <w:next w:val="Header"/>
    <w:uiPriority w:val="99"/>
    <w:unhideWhenUsed/>
    <w:rsid w:val="00FD0D32"/>
    <w:pPr>
      <w:tabs>
        <w:tab w:val="center" w:pos="4680"/>
        <w:tab w:val="right" w:pos="9360"/>
      </w:tabs>
    </w:pPr>
    <w:rPr>
      <w:rFonts w:eastAsia="Times New Roman"/>
      <w:kern w:val="2"/>
      <w:lang w:val="en-GB" w:eastAsia="en-GB"/>
      <w14:ligatures w14:val="standardContextual"/>
    </w:rPr>
  </w:style>
  <w:style w:type="paragraph" w:customStyle="1" w:styleId="Footer1">
    <w:name w:val="Footer1"/>
    <w:basedOn w:val="Normal"/>
    <w:next w:val="Footer"/>
    <w:uiPriority w:val="99"/>
    <w:unhideWhenUsed/>
    <w:rsid w:val="00FD0D32"/>
    <w:pPr>
      <w:tabs>
        <w:tab w:val="center" w:pos="4680"/>
        <w:tab w:val="right" w:pos="9360"/>
      </w:tabs>
    </w:pPr>
    <w:rPr>
      <w:rFonts w:eastAsia="Times New Roman"/>
      <w:kern w:val="2"/>
      <w:lang w:val="en-GB" w:eastAsia="en-GB"/>
      <w14:ligatures w14:val="standardContextual"/>
    </w:rPr>
  </w:style>
  <w:style w:type="character" w:customStyle="1" w:styleId="HeaderChar1">
    <w:name w:val="Header Char1"/>
    <w:basedOn w:val="DefaultParagraphFont"/>
    <w:uiPriority w:val="99"/>
    <w:rsid w:val="00FD0D32"/>
    <w:rPr>
      <w:rFonts w:ascii="Times New Roman" w:eastAsia="Times New Roman" w:hAnsi="Times New Roman" w:cs="Times New Roman"/>
      <w:color w:val="000000"/>
      <w:kern w:val="2"/>
      <w:sz w:val="24"/>
      <w:lang w:bidi="en-US"/>
      <w14:ligatures w14:val="standardContextual"/>
    </w:rPr>
  </w:style>
  <w:style w:type="character" w:customStyle="1" w:styleId="FooterChar1">
    <w:name w:val="Footer Char1"/>
    <w:basedOn w:val="DefaultParagraphFont"/>
    <w:uiPriority w:val="99"/>
    <w:rsid w:val="00FD0D32"/>
    <w:rPr>
      <w:rFonts w:ascii="Times New Roman" w:eastAsia="Times New Roman" w:hAnsi="Times New Roman" w:cs="Times New Roman"/>
      <w:color w:val="000000"/>
      <w:kern w:val="2"/>
      <w:sz w:val="24"/>
      <w:lang w:bidi="en-US"/>
      <w14:ligatures w14:val="standardContextual"/>
    </w:rPr>
  </w:style>
  <w:style w:type="numbering" w:customStyle="1" w:styleId="NoList3">
    <w:name w:val="No List3"/>
    <w:next w:val="NoList"/>
    <w:uiPriority w:val="99"/>
    <w:semiHidden/>
    <w:unhideWhenUsed/>
    <w:rsid w:val="00891559"/>
  </w:style>
  <w:style w:type="table" w:styleId="GridTable1Light-Accent1">
    <w:name w:val="Grid Table 1 Light Accent 1"/>
    <w:basedOn w:val="TableNormal"/>
    <w:uiPriority w:val="46"/>
    <w:rsid w:val="008051E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115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9747">
      <w:bodyDiv w:val="1"/>
      <w:marLeft w:val="0"/>
      <w:marRight w:val="0"/>
      <w:marTop w:val="0"/>
      <w:marBottom w:val="0"/>
      <w:divBdr>
        <w:top w:val="none" w:sz="0" w:space="0" w:color="auto"/>
        <w:left w:val="none" w:sz="0" w:space="0" w:color="auto"/>
        <w:bottom w:val="none" w:sz="0" w:space="0" w:color="auto"/>
        <w:right w:val="none" w:sz="0" w:space="0" w:color="auto"/>
      </w:divBdr>
    </w:div>
    <w:div w:id="137310841">
      <w:bodyDiv w:val="1"/>
      <w:marLeft w:val="0"/>
      <w:marRight w:val="0"/>
      <w:marTop w:val="0"/>
      <w:marBottom w:val="0"/>
      <w:divBdr>
        <w:top w:val="none" w:sz="0" w:space="0" w:color="auto"/>
        <w:left w:val="none" w:sz="0" w:space="0" w:color="auto"/>
        <w:bottom w:val="none" w:sz="0" w:space="0" w:color="auto"/>
        <w:right w:val="none" w:sz="0" w:space="0" w:color="auto"/>
      </w:divBdr>
    </w:div>
    <w:div w:id="245655856">
      <w:bodyDiv w:val="1"/>
      <w:marLeft w:val="0"/>
      <w:marRight w:val="0"/>
      <w:marTop w:val="0"/>
      <w:marBottom w:val="0"/>
      <w:divBdr>
        <w:top w:val="none" w:sz="0" w:space="0" w:color="auto"/>
        <w:left w:val="none" w:sz="0" w:space="0" w:color="auto"/>
        <w:bottom w:val="none" w:sz="0" w:space="0" w:color="auto"/>
        <w:right w:val="none" w:sz="0" w:space="0" w:color="auto"/>
      </w:divBdr>
      <w:divsChild>
        <w:div w:id="2118870377">
          <w:marLeft w:val="0"/>
          <w:marRight w:val="0"/>
          <w:marTop w:val="0"/>
          <w:marBottom w:val="0"/>
          <w:divBdr>
            <w:top w:val="none" w:sz="0" w:space="0" w:color="auto"/>
            <w:left w:val="none" w:sz="0" w:space="0" w:color="auto"/>
            <w:bottom w:val="none" w:sz="0" w:space="0" w:color="auto"/>
            <w:right w:val="none" w:sz="0" w:space="0" w:color="auto"/>
          </w:divBdr>
        </w:div>
      </w:divsChild>
    </w:div>
    <w:div w:id="285507105">
      <w:bodyDiv w:val="1"/>
      <w:marLeft w:val="0"/>
      <w:marRight w:val="0"/>
      <w:marTop w:val="0"/>
      <w:marBottom w:val="0"/>
      <w:divBdr>
        <w:top w:val="none" w:sz="0" w:space="0" w:color="auto"/>
        <w:left w:val="none" w:sz="0" w:space="0" w:color="auto"/>
        <w:bottom w:val="none" w:sz="0" w:space="0" w:color="auto"/>
        <w:right w:val="none" w:sz="0" w:space="0" w:color="auto"/>
      </w:divBdr>
      <w:divsChild>
        <w:div w:id="837159280">
          <w:marLeft w:val="0"/>
          <w:marRight w:val="0"/>
          <w:marTop w:val="0"/>
          <w:marBottom w:val="0"/>
          <w:divBdr>
            <w:top w:val="none" w:sz="0" w:space="0" w:color="auto"/>
            <w:left w:val="none" w:sz="0" w:space="0" w:color="auto"/>
            <w:bottom w:val="none" w:sz="0" w:space="0" w:color="auto"/>
            <w:right w:val="none" w:sz="0" w:space="0" w:color="auto"/>
          </w:divBdr>
        </w:div>
      </w:divsChild>
    </w:div>
    <w:div w:id="359353795">
      <w:bodyDiv w:val="1"/>
      <w:marLeft w:val="0"/>
      <w:marRight w:val="0"/>
      <w:marTop w:val="0"/>
      <w:marBottom w:val="0"/>
      <w:divBdr>
        <w:top w:val="none" w:sz="0" w:space="0" w:color="auto"/>
        <w:left w:val="none" w:sz="0" w:space="0" w:color="auto"/>
        <w:bottom w:val="none" w:sz="0" w:space="0" w:color="auto"/>
        <w:right w:val="none" w:sz="0" w:space="0" w:color="auto"/>
      </w:divBdr>
    </w:div>
    <w:div w:id="384908830">
      <w:bodyDiv w:val="1"/>
      <w:marLeft w:val="0"/>
      <w:marRight w:val="0"/>
      <w:marTop w:val="0"/>
      <w:marBottom w:val="0"/>
      <w:divBdr>
        <w:top w:val="none" w:sz="0" w:space="0" w:color="auto"/>
        <w:left w:val="none" w:sz="0" w:space="0" w:color="auto"/>
        <w:bottom w:val="none" w:sz="0" w:space="0" w:color="auto"/>
        <w:right w:val="none" w:sz="0" w:space="0" w:color="auto"/>
      </w:divBdr>
    </w:div>
    <w:div w:id="424501075">
      <w:bodyDiv w:val="1"/>
      <w:marLeft w:val="0"/>
      <w:marRight w:val="0"/>
      <w:marTop w:val="0"/>
      <w:marBottom w:val="0"/>
      <w:divBdr>
        <w:top w:val="none" w:sz="0" w:space="0" w:color="auto"/>
        <w:left w:val="none" w:sz="0" w:space="0" w:color="auto"/>
        <w:bottom w:val="none" w:sz="0" w:space="0" w:color="auto"/>
        <w:right w:val="none" w:sz="0" w:space="0" w:color="auto"/>
      </w:divBdr>
    </w:div>
    <w:div w:id="452405090">
      <w:bodyDiv w:val="1"/>
      <w:marLeft w:val="0"/>
      <w:marRight w:val="0"/>
      <w:marTop w:val="0"/>
      <w:marBottom w:val="0"/>
      <w:divBdr>
        <w:top w:val="none" w:sz="0" w:space="0" w:color="auto"/>
        <w:left w:val="none" w:sz="0" w:space="0" w:color="auto"/>
        <w:bottom w:val="none" w:sz="0" w:space="0" w:color="auto"/>
        <w:right w:val="none" w:sz="0" w:space="0" w:color="auto"/>
      </w:divBdr>
    </w:div>
    <w:div w:id="575211498">
      <w:bodyDiv w:val="1"/>
      <w:marLeft w:val="0"/>
      <w:marRight w:val="0"/>
      <w:marTop w:val="0"/>
      <w:marBottom w:val="0"/>
      <w:divBdr>
        <w:top w:val="none" w:sz="0" w:space="0" w:color="auto"/>
        <w:left w:val="none" w:sz="0" w:space="0" w:color="auto"/>
        <w:bottom w:val="none" w:sz="0" w:space="0" w:color="auto"/>
        <w:right w:val="none" w:sz="0" w:space="0" w:color="auto"/>
      </w:divBdr>
    </w:div>
    <w:div w:id="835919397">
      <w:bodyDiv w:val="1"/>
      <w:marLeft w:val="0"/>
      <w:marRight w:val="0"/>
      <w:marTop w:val="0"/>
      <w:marBottom w:val="0"/>
      <w:divBdr>
        <w:top w:val="none" w:sz="0" w:space="0" w:color="auto"/>
        <w:left w:val="none" w:sz="0" w:space="0" w:color="auto"/>
        <w:bottom w:val="none" w:sz="0" w:space="0" w:color="auto"/>
        <w:right w:val="none" w:sz="0" w:space="0" w:color="auto"/>
      </w:divBdr>
    </w:div>
    <w:div w:id="1130124434">
      <w:bodyDiv w:val="1"/>
      <w:marLeft w:val="0"/>
      <w:marRight w:val="0"/>
      <w:marTop w:val="0"/>
      <w:marBottom w:val="0"/>
      <w:divBdr>
        <w:top w:val="none" w:sz="0" w:space="0" w:color="auto"/>
        <w:left w:val="none" w:sz="0" w:space="0" w:color="auto"/>
        <w:bottom w:val="none" w:sz="0" w:space="0" w:color="auto"/>
        <w:right w:val="none" w:sz="0" w:space="0" w:color="auto"/>
      </w:divBdr>
    </w:div>
    <w:div w:id="1352144893">
      <w:bodyDiv w:val="1"/>
      <w:marLeft w:val="0"/>
      <w:marRight w:val="0"/>
      <w:marTop w:val="0"/>
      <w:marBottom w:val="0"/>
      <w:divBdr>
        <w:top w:val="none" w:sz="0" w:space="0" w:color="auto"/>
        <w:left w:val="none" w:sz="0" w:space="0" w:color="auto"/>
        <w:bottom w:val="none" w:sz="0" w:space="0" w:color="auto"/>
        <w:right w:val="none" w:sz="0" w:space="0" w:color="auto"/>
      </w:divBdr>
    </w:div>
    <w:div w:id="1896623291">
      <w:bodyDiv w:val="1"/>
      <w:marLeft w:val="0"/>
      <w:marRight w:val="0"/>
      <w:marTop w:val="0"/>
      <w:marBottom w:val="0"/>
      <w:divBdr>
        <w:top w:val="none" w:sz="0" w:space="0" w:color="auto"/>
        <w:left w:val="none" w:sz="0" w:space="0" w:color="auto"/>
        <w:bottom w:val="none" w:sz="0" w:space="0" w:color="auto"/>
        <w:right w:val="none" w:sz="0" w:space="0" w:color="auto"/>
      </w:divBdr>
    </w:div>
    <w:div w:id="1965696596">
      <w:bodyDiv w:val="1"/>
      <w:marLeft w:val="0"/>
      <w:marRight w:val="0"/>
      <w:marTop w:val="0"/>
      <w:marBottom w:val="0"/>
      <w:divBdr>
        <w:top w:val="none" w:sz="0" w:space="0" w:color="auto"/>
        <w:left w:val="none" w:sz="0" w:space="0" w:color="auto"/>
        <w:bottom w:val="none" w:sz="0" w:space="0" w:color="auto"/>
        <w:right w:val="none" w:sz="0" w:space="0" w:color="auto"/>
      </w:divBdr>
    </w:div>
    <w:div w:id="200724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ajournal.com/index.php/36/about/aboutThisPublishingSyste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issn.org/resource/ISSN/3006-25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hboobahmad@gcu.edu.p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ssn.org/resource/ISSN/3006-2497" TargetMode="External"/><Relationship Id="rId5" Type="http://schemas.openxmlformats.org/officeDocument/2006/relationships/webSettings" Target="webSettings.xml"/><Relationship Id="rId15" Type="http://schemas.openxmlformats.org/officeDocument/2006/relationships/hyperlink" Target="mailto:Naumana.history@pu.edu.pk" TargetMode="External"/><Relationship Id="rId10" Type="http://schemas.openxmlformats.org/officeDocument/2006/relationships/hyperlink" Target="https://assajourna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eelijaz@fccollege.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153406-B49C-4267-ADD5-1A85709C4172}">
  <we:reference id="wa104382081" version="1.55.1.0" store="en-US" storeType="OMEX"/>
  <we:alternateReferences>
    <we:reference id="wa104382081" version="1.55.1.0" store="" storeType="OMEX"/>
  </we:alternateReferences>
  <we:properties>
    <we:property name="MENDELEY_CITATIONS" value="[{&quot;citationID&quot;:&quot;MENDELEY_CITATION_e1515700-2dc8-4e66-909c-94a47f699e8a&quot;,&quot;properties&quot;:{&quot;noteIndex&quot;:0},&quot;isEdited&quot;:false,&quot;manualOverride&quot;:{&quot;citeprocText&quot;:&quot;[1]&quot;,&quot;isManuallyOverridden&quot;:false,&quot;manualOverrideText&quot;:&quot;&quot;},&quot;citationTag&quot;:&quot;MENDELEY_CITATION_v3_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&quot;,&quot;citationItems&quot;:[{&quot;id&quot;:&quot;5d188679-5fa6-56ee-ae91-9cb728770b83&quot;,&quot;itemData&quot;:{&quot;DOI&quot;:&quot;10.1016/j.ijthermalsci.2017.07.012&quot;,&quot;ISSN&quot;:&quot;12900729&quot;,&quot;abstract&quot;:&quot;The unsteady radiative flow of chemically reacting fluid over bilaterally stretching surface is under consideration. The surface is convectively heated and influence of thermal and concentration gradients is also taken into account. The resulting nondimensional form of the radiative flow model is obtained after utilizing the feasible set of self-similar variables. Further, model is treated numerically with the help of Runge-Kutta scheme after reduced the model into coupled system of first order initial value problem. Influence of the different flow parameters specially Biot's number, Radiation and chemical reaction parameters are discussed for different values. Also, steady and two dimensional case of the current model is plotted. The graphically comparison between thermal and concentration fields is also provided in the presence and absence of thermal and concentration gradients. Impact of ingrained physical parameters on skin friction coefficient, heat and mass transfer gradients performed numerically. The significant effects of Radiation and chemical reaction parameters on thermal and concentration of the fluid observed. Finally, core findings of the study are mentioned in the last section of the letter.&quot;,&quot;author&quot;:[{&quot;dropping-particle&quot;:&quot;&quot;,&quot;family&quot;:&quot;Ahmed&quot;,&quot;given&quot;:&quot;Naveed&quot;,&quot;non-dropping-particle&quot;:&quot;&quot;,&quot;parse-names&quot;:false,&quot;suffix&quot;:&quot;&quot;},{&quot;dropping-particle&quot;:&quot;&quot;,&quot;family&quot;:&quot;Adnan&quot;,&quot;given&quot;:&quot;&quot;,&quot;non-dropping-particle&quot;:&quot;&quot;,&quot;parse-names&quot;:false,&quot;suffix&quot;:&quot;&quot;},{&quot;dropping-particle&quot;:&quot;&quot;,&quot;family&quot;:&quot;Khan&quot;,&quot;given&quot;:&quot;Umar&quot;,&quot;non-dropping-particle&quot;:&quot;&quot;,&quot;parse-names&quot;:false,&quot;suffix&quot;:&quot;&quot;},{&quot;dropping-particle&quot;:&quot;&quot;,&quot;family&quot;:&quot;Mohyud-Din&quot;,&quot;given&quot;:&quot;Syed Tauseef&quot;,&quot;non-dropping-particle&quot;:&quot;&quot;,&quot;parse-names&quot;:false,&quot;suffix&quot;:&quot;&quot;}],&quot;container-title&quot;:&quot;International Journal of Thermal Sciences&quot;,&quot;id&quot;:&quot;5d188679-5fa6-56ee-ae91-9cb728770b83&quot;,&quot;issued&quot;:{&quot;date-parts&quot;:[[&quot;2017&quot;,&quot;11&quot;]]},&quot;page&quot;:&quot;182-191&quot;,&quot;title&quot;:&quot;Unsteady radiative flow of chemically reacting fluid over a convectively heated stretchable surface with cross-diffusion gradients&quot;,&quot;type&quot;:&quot;article-journal&quot;,&quot;volume&quot;:&quot;121&quot;,&quot;container-title-short&quot;:&quot;&quot;},&quot;uris&quot;:[&quot;http://www.mendeley.com/documents/?uuid=bbf1962b-c523-4d9b-ad6f-6fb78ffad53c&quot;],&quot;isTemporary&quot;:false,&quot;legacyDesktopId&quot;:&quot;bbf1962b-c523-4d9b-ad6f-6fb78ffad53c&quot;}]},{&quot;citationID&quot;:&quot;MENDELEY_CITATION_403aaace-8e75-45db-a8da-d29f743b826e&quot;,&quot;properties&quot;:{&quot;noteIndex&quot;:0},&quot;isEdited&quot;:false,&quot;manualOverride&quot;:{&quot;citeprocText&quot;:&quot;[1]&quot;,&quot;isManuallyOverridden&quot;:false,&quot;manualOverrideText&quot;:&quot;&quot;},&quot;citationTag&quot;:&quot;MENDELEY_CITATION_v3_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&quot;,&quot;citationItems&quot;:[{&quot;id&quot;:&quot;5d188679-5fa6-56ee-ae91-9cb728770b83&quot;,&quot;itemData&quot;:{&quot;DOI&quot;:&quot;10.1016/j.ijthermalsci.2017.07.012&quot;,&quot;ISSN&quot;:&quot;12900729&quot;,&quot;abstract&quot;:&quot;The unsteady radiative flow of chemically reacting fluid over bilaterally stretching surface is under consideration. The surface is convectively heated and influence of thermal and concentration gradients is also taken into account. The resulting nondimensional form of the radiative flow model is obtained after utilizing the feasible set of self-similar variables. Further, model is treated numerically with the help of Runge-Kutta scheme after reduced the model into coupled system of first order initial value problem. Influence of the different flow parameters specially Biot's number, Radiation and chemical reaction parameters are discussed for different values. Also, steady and two dimensional case of the current model is plotted. The graphically comparison between thermal and concentration fields is also provided in the presence and absence of thermal and concentration gradients. Impact of ingrained physical parameters on skin friction coefficient, heat and mass transfer gradients performed numerically. The significant effects of Radiation and chemical reaction parameters on thermal and concentration of the fluid observed. Finally, core findings of the study are mentioned in the last section of the letter.&quot;,&quot;author&quot;:[{&quot;dropping-particle&quot;:&quot;&quot;,&quot;family&quot;:&quot;Ahmed&quot;,&quot;given&quot;:&quot;Naveed&quot;,&quot;non-dropping-particle&quot;:&quot;&quot;,&quot;parse-names&quot;:false,&quot;suffix&quot;:&quot;&quot;},{&quot;dropping-particle&quot;:&quot;&quot;,&quot;family&quot;:&quot;Adnan&quot;,&quot;given&quot;:&quot;&quot;,&quot;non-dropping-particle&quot;:&quot;&quot;,&quot;parse-names&quot;:false,&quot;suffix&quot;:&quot;&quot;},{&quot;dropping-particle&quot;:&quot;&quot;,&quot;family&quot;:&quot;Khan&quot;,&quot;given&quot;:&quot;Umar&quot;,&quot;non-dropping-particle&quot;:&quot;&quot;,&quot;parse-names&quot;:false,&quot;suffix&quot;:&quot;&quot;},{&quot;dropping-particle&quot;:&quot;&quot;,&quot;family&quot;:&quot;Mohyud-Din&quot;,&quot;given&quot;:&quot;Syed Tauseef&quot;,&quot;non-dropping-particle&quot;:&quot;&quot;,&quot;parse-names&quot;:false,&quot;suffix&quot;:&quot;&quot;}],&quot;container-title&quot;:&quot;International Journal of Thermal Sciences&quot;,&quot;id&quot;:&quot;5d188679-5fa6-56ee-ae91-9cb728770b83&quot;,&quot;issued&quot;:{&quot;date-parts&quot;:[[&quot;2017&quot;,&quot;11&quot;]]},&quot;page&quot;:&quot;182-191&quot;,&quot;title&quot;:&quot;Unsteady radiative flow of chemically reacting fluid over a convectively heated stretchable surface with cross-diffusion gradients&quot;,&quot;type&quot;:&quot;article-journal&quot;,&quot;volume&quot;:&quot;121&quot;,&quot;container-title-short&quot;:&quot;&quot;},&quot;uris&quot;:[&quot;http://www.mendeley.com/documents/?uuid=bbf1962b-c523-4d9b-ad6f-6fb78ffad53c&quot;],&quot;isTemporary&quot;:false,&quot;legacyDesktopId&quot;:&quot;bbf1962b-c523-4d9b-ad6f-6fb78ffad53c&quot;}]},{&quot;citationID&quot;:&quot;MENDELEY_CITATION_d82c841a-b042-4bd9-83ba-e7042766d181&quot;,&quot;properties&quot;:{&quot;noteIndex&quot;:0},&quot;isEdited&quot;:false,&quot;manualOverride&quot;:{&quot;citeprocText&quot;:&quot;[1]&quot;,&quot;isManuallyOverridden&quot;:false,&quot;manualOverrideText&quot;:&quot;&quot;},&quot;citationTag&quot;:&quot;MENDELEY_CITATION_v3_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&quot;,&quot;citationItems&quot;:[{&quot;id&quot;:&quot;5d188679-5fa6-56ee-ae91-9cb728770b83&quot;,&quot;itemData&quot;:{&quot;DOI&quot;:&quot;10.1016/j.ijthermalsci.2017.07.012&quot;,&quot;ISSN&quot;:&quot;12900729&quot;,&quot;abstract&quot;:&quot;The unsteady radiative flow of chemically reacting fluid over bilaterally stretching surface is under consideration. The surface is convectively heated and influence of thermal and concentration gradients is also taken into account. The resulting nondimensional form of the radiative flow model is obtained after utilizing the feasible set of self-similar variables. Further, model is treated numerically with the help of Runge-Kutta scheme after reduced the model into coupled system of first order initial value problem. Influence of the different flow parameters specially Biot's number, Radiation and chemical reaction parameters are discussed for different values. Also, steady and two dimensional case of the current model is plotted. The graphically comparison between thermal and concentration fields is also provided in the presence and absence of thermal and concentration gradients. Impact of ingrained physical parameters on skin friction coefficient, heat and mass transfer gradients performed numerically. The significant effects of Radiation and chemical reaction parameters on thermal and concentration of the fluid observed. Finally, core findings of the study are mentioned in the last section of the letter.&quot;,&quot;author&quot;:[{&quot;dropping-particle&quot;:&quot;&quot;,&quot;family&quot;:&quot;Ahmed&quot;,&quot;given&quot;:&quot;Naveed&quot;,&quot;non-dropping-particle&quot;:&quot;&quot;,&quot;parse-names&quot;:false,&quot;suffix&quot;:&quot;&quot;},{&quot;dropping-particle&quot;:&quot;&quot;,&quot;family&quot;:&quot;Adnan&quot;,&quot;given&quot;:&quot;&quot;,&quot;non-dropping-particle&quot;:&quot;&quot;,&quot;parse-names&quot;:false,&quot;suffix&quot;:&quot;&quot;},{&quot;dropping-particle&quot;:&quot;&quot;,&quot;family&quot;:&quot;Khan&quot;,&quot;given&quot;:&quot;Umar&quot;,&quot;non-dropping-particle&quot;:&quot;&quot;,&quot;parse-names&quot;:false,&quot;suffix&quot;:&quot;&quot;},{&quot;dropping-particle&quot;:&quot;&quot;,&quot;family&quot;:&quot;Mohyud-Din&quot;,&quot;given&quot;:&quot;Syed Tauseef&quot;,&quot;non-dropping-particle&quot;:&quot;&quot;,&quot;parse-names&quot;:false,&quot;suffix&quot;:&quot;&quot;}],&quot;container-title&quot;:&quot;International Journal of Thermal Sciences&quot;,&quot;id&quot;:&quot;5d188679-5fa6-56ee-ae91-9cb728770b83&quot;,&quot;issued&quot;:{&quot;date-parts&quot;:[[&quot;2017&quot;,&quot;11&quot;]]},&quot;page&quot;:&quot;182-191&quot;,&quot;title&quot;:&quot;Unsteady radiative flow of chemically reacting fluid over a convectively heated stretchable surface with cross-diffusion gradients&quot;,&quot;type&quot;:&quot;article-journal&quot;,&quot;volume&quot;:&quot;121&quot;,&quot;container-title-short&quot;:&quot;&quot;},&quot;uris&quot;:[&quot;http://www.mendeley.com/documents/?uuid=bbf1962b-c523-4d9b-ad6f-6fb78ffad53c&quot;],&quot;isTemporary&quot;:false,&quot;legacyDesktopId&quot;:&quot;bbf1962b-c523-4d9b-ad6f-6fb78ffad53c&quot;}]},{&quot;citationID&quot;:&quot;MENDELEY_CITATION_ee021b37-ac70-45f6-bc03-c2c42518be01&quot;,&quot;properties&quot;:{&quot;noteIndex&quot;:0},&quot;isEdited&quot;:false,&quot;manualOverride&quot;:{&quot;isManuallyOverridden&quot;:false,&quot;citeprocText&quot;:&quot;[2]&quot;,&quot;manualOverrideText&quot;:&quot;&quot;},&quot;citationTag&quot;:&quot;MENDELEY_CITATION_v3_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&quot;,&quot;citationItems&quot;:[{&quot;id&quot;:&quot;a2887683-5898-38b8-8ee4-ca7ce4e4c630&quot;,&quot;itemData&quot;:{&quot;type&quot;:&quot;article-journal&quot;,&quot;id&quot;:&quot;a2887683-5898-38b8-8ee4-ca7ce4e4c630&quot;,&quot;title&quot;:&quot;New soliton solutions of fractional Biswas–Milovic equation with Kerr, parabolic and cubic-quartic nonlinearities&quot;,&quot;author&quot;:[{&quot;family&quot;:&quot;Pekönür&quot;,&quot;given&quot;:&quot;Esra&quot;,&quot;parse-names&quot;:false,&quot;dropping-particle&quot;:&quot;&quot;,&quot;non-dropping-particle&quot;:&quot;&quot;},{&quot;family&quot;:&quot;Akar&quot;,&quot;given&quot;:&quot;Mutlu&quot;,&quot;parse-names&quot;:false,&quot;dropping-particle&quot;:&quot;&quot;,&quot;non-dropping-particle&quot;:&quot;&quot;}],&quot;container-title&quot;:&quot;Modern Physics Letters B&quot;,&quot;DOI&quot;:&quot;10.1142/S0217984924503561&quot;,&quot;ISSN&quot;:&quot;0217-9849&quot;,&quot;URL&quot;:&quot;https://www.worldscientific.com/doi/10.1142/S0217984924503561&quot;,&quot;issued&quot;:{&quot;date-parts&quot;:[[2024,4,9]]},&quot;page&quot;:&quot;2450356&quot;,&quot;abstract&quot;:&quot;&lt;p&gt;This paper presents new explicit solutions of hyperbolic and trigonometric functions, obtained from the conformable fractional Biswas–Milovic equation, characterizing the long distance optical communications with three types nonlinearities: Kerr law, parabolic law and cubic-quartic ones. The Sardar sub-equation method is used, which gives the results that are of significant potential in a nonlinear system, providing a clear physical interpretation of the model under study. The resulting solutions are novel for the fractional Biswas–Milovic equation with the help of the method used, a powerful instrument for exploring precise solitary wave solutions for various other nonlinear equations in a nonlinear medium.&lt;/p&gt;&quot;,&quot;publisher&quot;:&quot;World Scientific Publishing Co.&quot;,&quot;container-title-short&quot;:&quot;&quot;},&quot;isTemporary&quot;:false}]},{&quot;citationID&quot;:&quot;MENDELEY_CITATION_4e1c6cbf-0aba-4ce3-aa9d-775d1d424aa7&quot;,&quot;properties&quot;:{&quot;noteIndex&quot;:0},&quot;isEdited&quot;:false,&quot;manualOverride&quot;:{&quot;isManuallyOverridden&quot;:false,&quot;citeprocText&quot;:&quot;[3]&quot;,&quot;manualOverrideText&quot;:&quot;&quot;},&quot;citationTag&quot;:&quot;MENDELEY_CITATION_v3_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&quot;,&quot;citationItems&quot;:[{&quot;id&quot;:&quot;06874a75-b834-3fdc-a2d0-9f6c119281c7&quot;,&quot;itemData&quot;:{&quot;type&quot;:&quot;book&quot;,&quot;id&quot;:&quot;06874a75-b834-3fdc-a2d0-9f6c119281c7&quot;,&quot;title&quot;:&quot;Fractional Differential Equations. An Introduction to Fractional Derivatives, Fractional Differential Equations, to Methods of their Solution and some of their Applications&quot;,&quot;author&quot;:[{&quot;family&quot;:&quot;Podlubny&quot;,&quot;given&quot;:&quot;Igor&quot;,&quot;parse-names&quot;:false,&quot;dropping-particle&quot;:&quot;&quot;,&quot;non-dropping-particle&quot;:&quot;&quot;}],&quot;container-title&quot;:&quot;Book&quot;,&quot;ISBN&quot;:&quot;978-0-12-558840-9&quot;,&quot;URL&quot;:&quot;http://linkinghub.elsevier.com/retrieve/pii/S0076539299800174&quot;,&quot;issued&quot;:{&quot;date-parts&quot;:[[1999]]},&quot;number-of-pages&quot;:&quot;340&quot;,&quot;abstract&quot;:&quot;This book is a landmark title in the continuous move from integer to non-integer in mathematics: from integer numbers to real numbers, from factorials to the gamma function, from integer-order models to models of an arbitrary order. For historical reasons, the word 'fractional' is used instead of the word 'arbitrary'.This book is written for readers who are new to the fields of fractional derivatives and fractional-order mathematical models, and feel that they need them for developing more adequate mathematical models.In this book, not only applied scientists, but also pure mathematicians will find fresh motivation for developing new methods and approaches in their fields of research.A reader will find in this book everything necessary for the initial study and immediate application of fractional derivatives fractional differential equations, including several necessary special functions, basic theory of fractional differentiation, uniqueness and existence theorems, analytical numerical methods of solution of fractional differential equations, and many inspiring examples of applications.Key Features* A unique survey of many applications of fractional calculus* Presents basic theory* Includes a unified presentation of selected classical results, which are important for applications* Provides many examples* Contains a separate chapter of fractional order control systems, which opens new perspectives in control theory* The first systematic consideration of Caputo's fractional derivative in comparison with other selected approaches* Includes tables of fractional derivatives, which can be used for evaluation of all considered types of fractional derivatives&quot;,&quot;publisher&quot;:&quot;Academic Press&quot;,&quot;container-title-short&quot;:&quot;&quot;},&quot;isTemporary&quot;:false}]},{&quot;citationID&quot;:&quot;MENDELEY_CITATION_706a1e19-542b-43e9-8609-9ac4d374bb93&quot;,&quot;properties&quot;:{&quot;noteIndex&quot;:0},&quot;isEdited&quot;:false,&quot;manualOverride&quot;:{&quot;isManuallyOverridden&quot;:false,&quot;citeprocText&quot;:&quot;[4]&quot;,&quot;manualOverrideText&quot;:&quot;&quot;},&quot;citationTag&quot;:&quot;MENDELEY_CITATION_v3_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&quot;,&quot;citationItems&quot;:[{&quot;id&quot;:&quot;cc472876-4f3b-331d-a62f-04a6517f603c&quot;,&quot;itemData&quot;:{&quot;type&quot;:&quot;chapter&quot;,&quot;id&quot;:&quot;cc472876-4f3b-331d-a62f-04a6517f603c&quot;,&quot;title&quot;:&quot;Constitutive Relations for Fluids&quot;,&quot;container-title&quot;:&quot;Fluid Mechanics&quot;,&quot;DOI&quot;:&quot;10.1007/978-3-540-73537-3_3&quot;,&quot;URL&quot;:&quot;http://link.springer.com/10.1007/978-3-540-73537-3_3&quot;,&quot;publisher-place&quot;:&quot;Berlin, Heidelberg&quot;,&quot;page&quot;:&quot;75-94&quot;,&quot;publisher&quot;:&quot;Springer Berlin Heidelberg&quot;,&quot;container-title-short&quot;:&quot;&quot;},&quot;isTemporary&quot;:false}]},{&quot;citationID&quot;:&quot;MENDELEY_CITATION_a111a22c-5386-49cb-a19d-f7adc917d96e&quot;,&quot;properties&quot;:{&quot;noteIndex&quot;:0},&quot;isEdited&quot;:false,&quot;manualOverride&quot;:{&quot;isManuallyOverridden&quot;:false,&quot;citeprocText&quot;:&quot;[5]&quot;,&quot;manualOverrideText&quot;:&quot;&quot;},&quot;citationTag&quot;:&quot;MENDELEY_CITATION_v3_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&quot;,&quot;citationItems&quot;:[{&quot;id&quot;:&quot;a7adaec5-efb2-3187-a018-0b3126d9b5f2&quot;,&quot;itemData&quot;:{&quot;type&quot;:&quot;article-journal&quot;,&quot;id&quot;:&quot;a7adaec5-efb2-3187-a018-0b3126d9b5f2&quot;,&quot;title&quot;:&quot;Kinematics&quot;,&quot;author&quot;:[{&quot;family&quot;:&quot;Kundu&quot;,&quot;given&quot;:&quot;Pijush K.&quot;,&quot;parse-names&quot;:false,&quot;dropping-particle&quot;:&quot;&quot;,&quot;non-dropping-particle&quot;:&quot;&quot;},{&quot;family&quot;:&quot;Cohen&quot;,&quot;given&quot;:&quot;Ira M.&quot;,&quot;parse-names&quot;:false,&quot;dropping-particle&quot;:&quot;&quot;,&quot;non-dropping-particle&quot;:&quot;&quot;},{&quot;family&quot;:&quot;Dowling&quot;,&quot;given&quot;:&quot;David R.&quot;,&quot;parse-names&quot;:false,&quot;dropping-particle&quot;:&quot;&quot;,&quot;non-dropping-particle&quot;:&quot;&quot;},{&quot;family&quot;:&quot;Capecelatro&quot;,&quot;given&quot;:&quot;Jesse&quot;,&quot;parse-names&quot;:false,&quot;dropping-particle&quot;:&quot;&quot;,&quot;non-dropping-particle&quot;:&quot;&quot;}],&quot;container-title&quot;:&quot;Fluid Mechanics&quot;,&quot;accessed&quot;:{&quot;date-parts&quot;:[[2025,4,16]]},&quot;DOI&quot;:&quot;10.1016/B978-0-12-819807-0.00012-0&quot;,&quot;ISBN&quot;:&quot;978-0-12-819807-0&quot;,&quot;issued&quot;:{&quot;date-parts&quot;:[[2025,1,1]]},&quot;page&quot;:&quot;59-83&quot;,&quot;publisher&quot;:&quot;Academic Press&quot;,&quot;container-title-short&quot;:&quot;&quot;},&quot;isTemporary&quot;:false}]},{&quot;citationID&quot;:&quot;MENDELEY_CITATION_15a6695e-3089-48c6-bf01-3d57878a7ce2&quot;,&quot;properties&quot;:{&quot;noteIndex&quot;:0},&quot;isEdited&quot;:false,&quot;manualOverride&quot;:{&quot;isManuallyOverridden&quot;:false,&quot;citeprocText&quot;:&quot;[6]&quot;,&quot;manualOverrideText&quot;:&quot;&quot;},&quot;citationTag&quot;:&quot;MENDELEY_CITATION_v3_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&quot;,&quot;citationItems&quot;:[{&quot;id&quot;:&quot;36b16dce-8240-3913-bb1e-212d51356c9e&quot;,&quot;itemData&quot;:{&quot;type&quot;:&quot;paper-conference&quot;,&quot;id&quot;:&quot;36b16dce-8240-3913-bb1e-212d51356c9e&quot;,&quot;title&quot;:&quot;Analytical prediction of rotor eddy current loss in brushless machines equipped with surface-mounted permanent magnets. I. Magnetostatic field model&quot;,&quot;author&quot;:[{&quot;family&quot;:&quot;Zhu&quot;,&quot;given&quot;:&quot;Z.Q.&quot;,&quot;parse-names&quot;:false,&quot;dropping-particle&quot;:&quot;&quot;,&quot;non-dropping-particle&quot;:&quot;&quot;},{&quot;family&quot;:&quot;Ng&quot;,&quot;given&quot;:&quot;K.&quot;,&quot;parse-names&quot;:false,&quot;dropping-particle&quot;:&quot;&quot;,&quot;non-dropping-particle&quot;:&quot;&quot;},{&quot;family&quot;:&quot;Schofield&quot;,&quot;given&quot;:&quot;N.&quot;,&quot;parse-names&quot;:false,&quot;dropping-particle&quot;:&quot;&quot;,&quot;non-dropping-particle&quot;:&quot;&quot;},{&quot;family&quot;:&quot;Howe&quot;,&quot;given&quot;:&quot;D.&quot;,&quot;parse-names&quot;:false,&quot;dropping-particle&quot;:&quot;&quot;,&quot;non-dropping-particle&quot;:&quot;&quot;}],&quot;container-title&quot;:&quot;ICEMS'2001. Proceedings of the Fifth International Conference on Electrical Machines and Systems (IEEE Cat. No.01EX501)&quot;,&quot;DOI&quot;:&quot;10.1109/ICEMS.2001.971799&quot;,&quot;ISBN&quot;:&quot;7-5062-5115-9&quot;,&quot;page&quot;:&quot;806-809&quot;,&quot;publisher&quot;:&quot;Int. Acad. Publishers&quot;,&quot;container-title-short&quot;:&quot;&quot;},&quot;isTemporary&quot;:false}]},{&quot;citationID&quot;:&quot;MENDELEY_CITATION_983bbae8-fdbf-4ee2-8f3e-e03decb39ba4&quot;,&quot;properties&quot;:{&quot;noteIndex&quot;:0},&quot;isEdited&quot;:false,&quot;manualOverride&quot;:{&quot;isManuallyOverridden&quot;:false,&quot;citeprocText&quot;:&quot;[7]&quot;,&quot;manualOverrideText&quot;:&quot;&quot;},&quot;citationTag&quot;:&quot;MENDELEY_CITATION_v3_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&quot;,&quot;citationItems&quot;:[{&quot;id&quot;:&quot;c9388da0-87e9-36d3-b31f-f31f20cfa6d3&quot;,&quot;itemData&quot;:{&quot;type&quot;:&quot;webpage&quot;,&quot;id&quot;:&quot;c9388da0-87e9-36d3-b31f-f31f20cfa6d3&quot;,&quot;title&quot;:&quot;Mendeley - Wikipedia&quot;,&quot;accessed&quot;:{&quot;date-parts&quot;:[[2025,4,16]]},&quot;URL&quot;:&quot;https://en.wikipedia.org/wiki/Mendeley&quot;,&quot;container-title-short&quot;:&quot;&quot;},&quot;isTemporary&quot;:false}]}]"/>
    <we:property name="MENDELEY_CITATIONS_STYLE" value="{&quot;id&quot;:&quot;https://csl.mendeley.com/styles/461186121/ieee-2Naveed&quot;,&quot;title&quot;:&quot;IEEE - naveed ahmed&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Int243</b:Tag>
    <b:SourceType>DocumentFromInternetSite</b:SourceType>
    <b:Guid>{80ABC8B6-4980-453A-8590-3A77869EAC2D}</b:Guid>
    <b:Title>World migration report 2024</b:Title>
    <b:Year>2025</b:Year>
    <b:Author>
      <b:Author>
        <b:Corporate>International Organization for Migration (IOM)</b:Corporate>
      </b:Author>
    </b:Author>
    <b:Month>April </b:Month>
    <b:Day>14</b:Day>
    <b:RefOrder>1</b:RefOrder>
  </b:Source>
  <b:Source>
    <b:Tag>The23</b:Tag>
    <b:SourceType>InternetSite</b:SourceType>
    <b:Guid>{A9252818-C081-4E63-AE78-B0632058CBB8}</b:Guid>
    <b:Title>Remittance flows grow in 2023 but at a slower pace, says migration and development brief</b:Title>
    <b:Year>2023</b:Year>
    <b:Month>December </b:Month>
    <b:Day>18</b:Day>
    <b:YearAccessed>2025</b:YearAccessed>
    <b:MonthAccessed>March</b:MonthAccessed>
    <b:DayAccessed>18</b:DayAccessed>
    <b:URL>https://www.worldbank.org/en/news/press-release/2023/12/18/remittance-flows-grow-2023-slower-pace-migration-developm</b:URL>
    <b:Author>
      <b:Author>
        <b:Corporate>The World Bank</b:Corporate>
      </b:Author>
    </b:Author>
    <b:RefOrder>2</b:RefOrder>
  </b:Source>
  <b:Source>
    <b:Tag>Int242</b:Tag>
    <b:SourceType>InternetSite</b:SourceType>
    <b:Guid>{9386E754-0191-426D-B3FE-D0E880C8672D}</b:Guid>
    <b:Title>Remittances, investments and development</b:Title>
    <b:Year>2024</b:Year>
    <b:YearAccessed>2025</b:YearAccessed>
    <b:MonthAccessed>March</b:MonthAccessed>
    <b:DayAccessed>18</b:DayAccessed>
    <b:URL>https://www.ifad.org</b:URL>
    <b:Author>
      <b:Author>
        <b:Corporate>International Fund for Agricultural Development</b:Corporate>
      </b:Author>
    </b:Author>
    <b:RefOrder>3</b:RefOrder>
  </b:Source>
  <b:Source>
    <b:Tag>Dep16</b:Tag>
    <b:SourceType>Report</b:SourceType>
    <b:Guid>{C3E0B11B-F126-4C0E-A1AB-427F7BDAB9B7}</b:Guid>
    <b:Author>
      <b:Author>
        <b:Corporate>United Nations</b:Corporate>
      </b:Author>
    </b:Author>
    <b:Title>International Migration Report 2015</b:Title>
    <b:Year>2016</b:Year>
    <b:Publisher>United Nations</b:Publisher>
    <b:City>New York</b:City>
    <b:RefOrder>5</b:RefOrder>
  </b:Source>
  <b:Source>
    <b:Tag>Geo15</b:Tag>
    <b:SourceType>Book</b:SourceType>
    <b:Guid>{900146C5-7B1D-4AAA-8148-B8AC6F963CBD}</b:Guid>
    <b:Title>Globalization: A Basic Text</b:Title>
    <b:Year>2015</b:Year>
    <b:Author>
      <b:Author>
        <b:NameList>
          <b:Person>
            <b:Last>George Ritzer</b:Last>
            <b:First>Paul</b:First>
            <b:Middle>Dean</b:Middle>
          </b:Person>
        </b:NameList>
      </b:Author>
    </b:Author>
    <b:Publisher>John Wiley &amp; Sons</b:Publisher>
    <b:RefOrder>6</b:RefOrder>
  </b:Source>
  <b:Source>
    <b:Tag>Wor23</b:Tag>
    <b:SourceType>InternetSite</b:SourceType>
    <b:Guid>{CAF72EEC-914D-4181-B36F-E727E1C8F5A3}</b:Guid>
    <b:Title>Immigration by country 2023</b:Title>
    <b:Year>2023</b:Year>
    <b:Author>
      <b:Author>
        <b:Corporate>World Population Review</b:Corporate>
      </b:Author>
    </b:Author>
    <b:YearAccessed>2025</b:YearAccessed>
    <b:MonthAccessed>March</b:MonthAccessed>
    <b:DayAccessed>18</b:DayAccessed>
    <b:URL>https://worldpopulationreview.com/country-rankings/immigration-by-country</b:URL>
    <b:RefOrder>7</b:RefOrder>
  </b:Source>
  <b:Source>
    <b:Tag>Mig24</b:Tag>
    <b:SourceType>Report</b:SourceType>
    <b:Guid>{0C946F05-150D-48A0-8F39-75D226B4E159}</b:Guid>
    <b:Title>Long-term international migration flows to and from the UK</b:Title>
    <b:Year>2024</b:Year>
    <b:URL>https://migrationobservatory.ox.ac.uk/resources/briefings/long-term-international-migration-flows-to-and-from-the-uk/</b:URL>
    <b:Author>
      <b:Author>
        <b:Corporate>Migration Observatory</b:Corporate>
      </b:Author>
    </b:Author>
    <b:Publisher>University of Oxford</b:Publisher>
    <b:RefOrder>8</b:RefOrder>
  </b:Source>
  <b:Source>
    <b:Tag>UKH24</b:Tag>
    <b:SourceType>InternetSite</b:SourceType>
    <b:Guid>{13DE24D4-C294-4932-8751-9132A5ADE252}</b:Guid>
    <b:Title>Immigration system statistics, year ending December 2023</b:Title>
    <b:Year>2024</b:Year>
    <b:Author>
      <b:Author>
        <b:Corporate>UK Home Office</b:Corporate>
      </b:Author>
    </b:Author>
    <b:YearAccessed>2025</b:YearAccessed>
    <b:MonthAccessed>March</b:MonthAccessed>
    <b:DayAccessed>18</b:DayAccessed>
    <b:URL>https://www.gov.uk/government/statistics/immigration-system-statistics-year-ending-december-2023/summary-of-latest-statistics</b:URL>
    <b:RefOrder>9</b:RefOrder>
  </b:Source>
  <b:Source>
    <b:Tag>Off23</b:Tag>
    <b:SourceType>InternetSite</b:SourceType>
    <b:Guid>{80A0CC37-46C5-4EF2-8562-F4C0CA59201C}</b:Guid>
    <b:Author>
      <b:Author>
        <b:Corporate>Office for National Statistics (ONS)</b:Corporate>
      </b:Author>
    </b:Author>
    <b:Title>Long-term international migration to the UK: 2023 estimates. </b:Title>
    <b:Year>2023</b:Year>
    <b:YearAccessed>2025</b:YearAccessed>
    <b:MonthAccessed>March</b:MonthAccessed>
    <b:DayAccessed>18</b:DayAccessed>
    <b:URL> https://www.ons.gov.uk</b:URL>
    <b:RefOrder>10</b:RefOrder>
  </b:Source>
  <b:Source>
    <b:Tag>Off24</b:Tag>
    <b:SourceType>InternetSite</b:SourceType>
    <b:Guid>{B20BD537-C6C3-48F8-820D-FF127C9B1A74}</b:Guid>
    <b:Author>
      <b:Author>
        <b:Corporate>Office for National Statistics (ONS)</b:Corporate>
      </b:Author>
    </b:Author>
    <b:Title>Male and female populations by ethnic group: Census 2021</b:Title>
    <b:Year>2024</b:Year>
    <b:YearAccessed>2025</b:YearAccessed>
    <b:MonthAccessed>March</b:MonthAccessed>
    <b:DayAccessed>19</b:DayAccessed>
    <b:URL>https://www.ethnicity-facts-figures.service.gov.uk</b:URL>
    <b:RefOrder>11</b:RefOrder>
  </b:Source>
  <b:Source>
    <b:Tag>The09</b:Tag>
    <b:SourceType>Report</b:SourceType>
    <b:Guid>{23A69A0E-497C-4E1C-8E46-9B63100E37B0}</b:Guid>
    <b:Title>The Pakistani Muslim Community in England: Understanding Muslim Ethnic Communities - Summary Report</b:Title>
    <b:Year>2009</b:Year>
    <b:Month>March </b:Month>
    <b:DayAccessed>The Change Institute</b:DayAccessed>
    <b:Author>
      <b:Author>
        <b:NameList>
          <b:Person>
            <b:Last>Hopkins</b:Last>
            <b:First>L.,</b:First>
            <b:Middle>&amp; Fiaz, R.</b:Middle>
          </b:Person>
        </b:NameList>
      </b:Author>
    </b:Author>
    <b:Publisher>Department for Communities and Local Government</b:Publisher>
    <b:City>London</b:City>
    <b:ThesisType>Communities and Local Government</b:ThesisType>
    <b:RefOrder>12</b:RefOrder>
  </b:Source>
  <b:Source>
    <b:Tag>Cra15</b:Tag>
    <b:SourceType>Report</b:SourceType>
    <b:Guid>{46D6DBBC-3C1B-4A4E-8263-E8C55CA9AFF7}</b:Guid>
    <b:Author>
      <b:Author>
        <b:NameList>
          <b:Person>
            <b:Last>Craig</b:Last>
            <b:First>Gary</b:First>
          </b:Person>
        </b:NameList>
      </b:Author>
    </b:Author>
    <b:Title>Migration and integration:A local and experiential perspective</b:Title>
    <b:Year>2015</b:Year>
    <b:Publisher>Institute for Research into Superdiversity,University of Birmingham</b:Publisher>
    <b:City>Birmingham</b:City>
    <b:ThesisType>Working Paper</b:ThesisType>
    <b:RefOrder>13</b:RefOrder>
  </b:Source>
  <b:Source>
    <b:Tag>Ahm221</b:Tag>
    <b:SourceType>JournalArticle</b:SourceType>
    <b:Guid>{4810C10F-B1DA-471E-BA38-3FF99434D13F}</b:Guid>
    <b:Title>Coping with Conundrums: Lower Ranked Pakistani Policewomen and Gender Inequity at the Workplace. </b:Title>
    <b:Year>2022</b:Year>
    <b:Author>
      <b:Author>
        <b:NameList>
          <b:Person>
            <b:Last>Ahmad</b:Last>
            <b:First>S.</b:First>
          </b:Person>
        </b:NameList>
      </b:Author>
    </b:Author>
    <b:JournalName>Gender &amp; Society</b:JournalName>
    <b:RefOrder>14</b:RefOrder>
  </b:Source>
  <b:Source>
    <b:Tag>OEC24</b:Tag>
    <b:SourceType>Report</b:SourceType>
    <b:Guid>{F8250316-A72C-48BB-92DE-CB7F51CFF8CC}</b:Guid>
    <b:Title>International Migration Outlook 2024: United Kingdom</b:Title>
    <b:Year>2024</b:Year>
    <b:URL>https://www.oecd.org/en/publications/2024/11/international-migration-outlook-2024_c6f3e803/full-report/united-kingdom_7b8a1eb9.html</b:URL>
    <b:Publisher>OECD Publishing</b:Publisher>
    <b:City>United Kingdom</b:City>
    <b:Author>
      <b:Author>
        <b:Corporate>OECD</b:Corporate>
      </b:Author>
    </b:Author>
    <b:RefOrder>15</b:RefOrder>
  </b:Source>
  <b:Source>
    <b:Tag>Don23</b:Tag>
    <b:SourceType>JournalArticle</b:SourceType>
    <b:Guid>{AE2167D9-BEF0-442C-A32C-46DCDE46D488}</b:Guid>
    <b:Author>
      <b:Author>
        <b:NameList>
          <b:Person>
            <b:Last>Donato</b:Last>
            <b:First>K.</b:First>
            <b:Middle>M.</b:Middle>
          </b:Person>
          <b:Person>
            <b:Last>Piya</b:Last>
            <b:First>B.</b:First>
          </b:Person>
          <b:Person>
            <b:Last>Jacobs</b:Last>
            <b:First>A.</b:First>
          </b:Person>
        </b:NameList>
      </b:Author>
    </b:Author>
    <b:Title>The double disadvantage reconsidered: Gender, immigration, and health among African and Asian migrants to the United States</b:Title>
    <b:JournalName>Demographic Research</b:JournalName>
    <b:Year>2023</b:Year>
    <b:Pages>48, 1299–1336</b:Pages>
    <b:RefOrder>16</b:RefOrder>
  </b:Source>
  <b:Source>
    <b:Tag>Ver04</b:Tag>
    <b:SourceType>JournalArticle</b:SourceType>
    <b:Guid>{2F212C35-1A16-4C94-9B99-0EE24F3241D2}</b:Guid>
    <b:Title>Migrant transnationalism and modes of transformation.</b:Title>
    <b:Year>2004</b:Year>
    <b:Author>
      <b:Author>
        <b:NameList>
          <b:Person>
            <b:Last>Vertovec</b:Last>
            <b:First>S.</b:First>
          </b:Person>
        </b:NameList>
      </b:Author>
    </b:Author>
    <b:JournalName>International Migration Review</b:JournalName>
    <b:Pages>38(3), 970-1001</b:Pages>
    <b:RefOrder>17</b:RefOrder>
  </b:Source>
  <b:Source>
    <b:Tag>Ber97</b:Tag>
    <b:SourceType>JournalArticle</b:SourceType>
    <b:Guid>{99DEEC2D-446A-4A57-A264-BA2142B48799}</b:Guid>
    <b:Author>
      <b:Author>
        <b:NameList>
          <b:Person>
            <b:Last>Berry</b:Last>
            <b:First>J.</b:First>
            <b:Middle>W.</b:Middle>
          </b:Person>
        </b:NameList>
      </b:Author>
    </b:Author>
    <b:Title>Immigration, acculturation, and adaptation</b:Title>
    <b:JournalName>Applied Psychology: An International Review</b:JournalName>
    <b:Year>1997</b:Year>
    <b:Pages> 46(1), 5–34</b:Pages>
    <b:RefOrder>18</b:RefOrder>
  </b:Source>
  <b:Source>
    <b:Tag>Dwy00</b:Tag>
    <b:SourceType>JournalArticle</b:SourceType>
    <b:Guid>{975A6E20-D413-4479-A12D-7B85AFA9C1DB}</b:Guid>
    <b:Author>
      <b:Author>
        <b:NameList>
          <b:Person>
            <b:Last>Dwyer</b:Last>
            <b:First>C.</b:First>
          </b:Person>
        </b:NameList>
      </b:Author>
    </b:Author>
    <b:Title>Negotiating diasporic identities: Young British South Asian Muslim women</b:Title>
    <b:JournalName>Women's Studies International Forum</b:JournalName>
    <b:Year>2000</b:Year>
    <b:Pages> 23(4), 475–486</b:Pages>
    <b:RefOrder>19</b:RefOrder>
  </b:Source>
  <b:Source>
    <b:Tag>Bha09</b:Tag>
    <b:SourceType>JournalArticle</b:SourceType>
    <b:Guid>{3BDB65EF-07F2-48F0-AD4A-0D52EB4920B3}</b:Guid>
    <b:Author>
      <b:Author>
        <b:NameList>
          <b:Person>
            <b:Last>Bhatia</b:Last>
            <b:First>S.,</b:First>
            <b:Middle>&amp; Ram, A.</b:Middle>
          </b:Person>
        </b:NameList>
      </b:Author>
    </b:Author>
    <b:Title>Theorizing identity in transnational and diaspora cultures: A critical approach to acculturation</b:Title>
    <b:JournalName>International Journal of Intercultural Relations</b:JournalName>
    <b:Year>2009</b:Year>
    <b:Pages>33(2), 140–149</b:Pages>
    <b:RefOrder>20</b:RefOrder>
  </b:Source>
  <b:Source>
    <b:Tag>Ead06</b:Tag>
    <b:SourceType>JournalArticle</b:SourceType>
    <b:Guid>{44333F17-382C-4579-9B6B-F2F2D12853E8}</b:Guid>
    <b:Author>
      <b:Author>
        <b:NameList>
          <b:Person>
            <b:Last>Eade</b:Last>
            <b:First>J.,</b:First>
            <b:Middle>&amp; Garbin, D.</b:Middle>
          </b:Person>
        </b:NameList>
      </b:Author>
    </b:Author>
    <b:Title>Competing visions of identity and space: Bangladeshi Muslims in Britain</b:Title>
    <b:JournalName>Contemporary South Asia</b:JournalName>
    <b:Year>2006</b:Year>
    <b:Pages>15(2), 181-193</b:Pages>
    <b:RefOrder>21</b:RefOrder>
  </b:Source>
  <b:Source>
    <b:Tag>Run66</b:Tag>
    <b:SourceType>Book</b:SourceType>
    <b:Guid>{A33A4BCB-FB65-4FEE-B642-7FBAA11BD693}</b:Guid>
    <b:Title>Relative deprivation and social justice: A study of attitudes to social inequality in twentieth-century England</b:Title>
    <b:Year>1966</b:Year>
    <b:Author>
      <b:Author>
        <b:NameList>
          <b:Person>
            <b:Last>Runciman</b:Last>
            <b:First>W.</b:First>
            <b:Middle>G.</b:Middle>
          </b:Person>
        </b:NameList>
      </b:Author>
    </b:Author>
    <b:City>Berkeley, CA</b:City>
    <b:Publisher>University of California Press</b:Publisher>
    <b:RefOrder>22</b:RefOrder>
  </b:Source>
  <b:Source>
    <b:Tag>Fai16</b:Tag>
    <b:SourceType>JournalArticle</b:SourceType>
    <b:Guid>{50F5862C-98D6-43E5-A8DA-28A52D230EC2}</b:Guid>
    <b:Author>
      <b:Author>
        <b:NameList>
          <b:Person>
            <b:Last>Faist</b:Last>
            <b:First>T.</b:First>
          </b:Person>
        </b:NameList>
      </b:Author>
    </b:Author>
    <b:Title>Cross-border migration and social inequalities</b:Title>
    <b:JournalName>Annual review of Sociology</b:JournalName>
    <b:Year>2016</b:Year>
    <b:Pages> 42(1), 323-346</b:Pages>
    <b:RefOrder>23</b:RefOrder>
  </b:Source>
  <b:Source>
    <b:Tag>Bod13</b:Tag>
    <b:SourceType>JournalArticle</b:SourceType>
    <b:Guid>{592B6D13-1D71-4C9A-AC48-7C57050796F5}</b:Guid>
    <b:Author>
      <b:Author>
        <b:NameList>
          <b:Person>
            <b:Last>Bodvarsson</b:Last>
            <b:First>Ö.</b:First>
            <b:Middle>B., Van den Berg, H., Bodvarsson, Ö. B., &amp; Van den Berg, H.</b:Middle>
          </b:Person>
        </b:NameList>
      </b:Author>
    </b:Author>
    <b:Title>The determinants of international migration: Theory</b:Title>
    <b:JournalName>The Economics of Immigration: theory and policy</b:JournalName>
    <b:Year>2013</b:Year>
    <b:Pages> 27-57</b:Pages>
    <b:RefOrder>24</b:RefOrder>
  </b:Source>
  <b:Source>
    <b:Tag>Sta91</b:Tag>
    <b:SourceType>JournalArticle</b:SourceType>
    <b:Guid>{8D600DC9-82A6-493D-AF43-86E204003BBA}</b:Guid>
    <b:Title>Migration incentives, migration types: The role of relative deprivation</b:Title>
    <b:Year>1991</b:Year>
    <b:Pages>101(408), 1163–1178</b:Pages>
    <b:Author>
      <b:Author>
        <b:NameList>
          <b:Person>
            <b:Last>Stark</b:Last>
            <b:First>O.,</b:First>
            <b:Middle>&amp; Taylor, J. E.</b:Middle>
          </b:Person>
        </b:NameList>
      </b:Author>
    </b:Author>
    <b:JournalName>The Economic Journal</b:JournalName>
    <b:RefOrder>25</b:RefOrder>
  </b:Source>
  <b:Source>
    <b:Tag>Kof04</b:Tag>
    <b:SourceType>JournalArticle</b:SourceType>
    <b:Guid>{EF434EE7-68DF-4AFD-BFAE-BACF86843D8E}</b:Guid>
    <b:Author>
      <b:Author>
        <b:NameList>
          <b:Person>
            <b:Last>Kofman</b:Last>
            <b:First>E.</b:First>
          </b:Person>
        </b:NameList>
      </b:Author>
    </b:Author>
    <b:Title>Gendered global migrations</b:Title>
    <b:JournalName> International Feminist Journal of Politics</b:JournalName>
    <b:Year>2004</b:Year>
    <b:Pages> 6(4), 643-665</b:Pages>
    <b:RefOrder>26</b:RefOrder>
  </b:Source>
  <b:Source>
    <b:Tag>Yeo14</b:Tag>
    <b:SourceType>JournalArticle</b:SourceType>
    <b:Guid>{CD32F66E-903E-42AB-9C46-489F09B743C6}</b:Guid>
    <b:Author>
      <b:Author>
        <b:NameList>
          <b:Person>
            <b:Last>Yeoh</b:Last>
            <b:First>B.</b:First>
            <b:Middle>S., &amp; Ramdas, K.</b:Middle>
          </b:Person>
        </b:NameList>
      </b:Author>
    </b:Author>
    <b:Title>Yeoh, B. S., &amp; Ramdas, K. (2014). Gender, migration, mobility and transnationalism</b:Title>
    <b:JournalName>Gender, Place &amp; Culture</b:JournalName>
    <b:Year>2014</b:Year>
    <b:Pages>21(10), 1197-1213</b:Pages>
    <b:RefOrder>27</b:RefOrder>
  </b:Source>
  <b:Source>
    <b:Tag>ABC11</b:Tag>
    <b:SourceType>Book</b:SourceType>
    <b:Guid>{A9D91E4F-C35D-4695-8D2C-682ECDEAC602}</b:Guid>
    <b:Title>ABC</b:Title>
    <b:Year>2011</b:Year>
    <b:City>PAK</b:City>
    <b:Publisher>UHU</b:Publisher>
    <b:Author>
      <b:Author>
        <b:NameList>
          <b:Person>
            <b:Last>ABC</b:Last>
          </b:Person>
        </b:NameList>
      </b:Author>
    </b:Author>
    <b:RefOrder>4</b:RefOrder>
  </b:Source>
  <b:Source>
    <b:Tag>Str</b:Tag>
    <b:SourceType>InternetSite</b:SourceType>
    <b:Guid>{70579F46-7393-48FE-8F79-73C4DC408EC3}</b:Guid>
    <b:Title>Post 1947 migration to the UK - from India, Bangladesh, Pakistan and Sri Lanka</b:Title>
    <b:Author>
      <b:Author>
        <b:Corporate>Striking Women-Migration</b:Corporate>
      </b:Author>
    </b:Author>
    <b:URL>http://www.striking-women.org/module/map-major-south-asian-migration-flows/post-1947-migration-uk-india-bangladesh-pakistan-and</b:URL>
    <b:RefOrder>28</b:RefOrder>
  </b:Source>
  <b:Source>
    <b:Tag>Bal90</b:Tag>
    <b:SourceType>Book</b:SourceType>
    <b:Guid>{3E3A2682-437A-4A25-83EC-02CB19C94ADE}</b:Guid>
    <b:Author>
      <b:Author>
        <b:NameList>
          <b:Person>
            <b:Last>Ballard.Rogger</b:Last>
          </b:Person>
        </b:NameList>
      </b:Author>
    </b:Author>
    <b:Title>Migration and kinship:the differntial effect of marriage rules on the processes of Punjabi migration to Britain.</b:Title>
    <b:Year>1990</b:Year>
    <b:City>Cambridge</b:City>
    <b:Publisher>Cambridge University Press,</b:Publisher>
    <b:RefOrder>29</b:RefOrder>
  </b:Source>
  <b:Source>
    <b:Tag>DrC17</b:Tag>
    <b:SourceType>InternetSite</b:SourceType>
    <b:Guid>{F2CEDF51-1720-4A5E-A9B2-ADA3CE0BB1CD}</b:Guid>
    <b:Title>The Migration Observatory informs debates on international migration and public policy.</b:Title>
    <b:Year>2017</b:Year>
    <b:Author>
      <b:Author>
        <b:Corporate>Dr Carlos Vargas-Silva</b:Corporate>
      </b:Author>
    </b:Author>
    <b:Month>21 FEB</b:Month>
    <b:YearAccessed>2018</b:YearAccessed>
    <b:MonthAccessed>JAN</b:MonthAccessed>
    <b:DayAccessed>13</b:DayAccessed>
    <b:URL>http://www.migrationobservatory.ox.ac.uk/resources/briefings/migrants-in-the-uk-an-overview/</b:URL>
    <b:RefOrder>30</b:RefOrder>
  </b:Source>
  <b:Source>
    <b:Tag>Hom17</b:Tag>
    <b:SourceType>InternetSite</b:SourceType>
    <b:Guid>{1C6FD8F8-1780-4EDF-8AEF-5B514A895D98}</b:Guid>
    <b:Title>National Statistics gov uk</b:Title>
    <b:Year>2017</b:Year>
    <b:Author>
      <b:Author>
        <b:Corporate>Home Office UK</b:Corporate>
      </b:Author>
    </b:Author>
    <b:Month>FEB</b:Month>
    <b:Day>23</b:Day>
    <b:URL>https://www.gov.uk/government/publications/immigration-statistics-october-to-december-2016/asylum</b:URL>
    <b:RefOrder>31</b:RefOrder>
  </b:Source>
  <b:Source>
    <b:Tag>Min15</b:Tag>
    <b:SourceType>Report</b:SourceType>
    <b:Guid>{2BEB5A83-A398-4F0C-AE80-C1E2B93E0EAF}</b:Guid>
    <b:Title>Labour migration from Pakistan, Status Report</b:Title>
    <b:Year>2015</b:Year>
    <b:Author>
      <b:Author>
        <b:Corporate>Ministry of Overseas Pakistanis and Human Resource Development</b:Corporate>
      </b:Author>
    </b:Author>
    <b:Publisher>Government of Pakistan</b:Publisher>
    <b:City>Islamabad</b:City>
    <b:ThesisType>Government</b:ThesisType>
    <b:RefOrder>32</b:RefOrder>
  </b:Source>
  <b:Source>
    <b:Tag>OBB13</b:Tag>
    <b:SourceType>Book</b:SourceType>
    <b:Guid>{DA34077A-E63E-4724-B69C-720F2503D132}</b:Guid>
    <b:Author>
      <b:Author>
        <b:NameList>
          <b:Person>
            <b:Last>O.B. Bodvarsson and H. Van den Berg</b:Last>
          </b:Person>
        </b:NameList>
      </b:Author>
    </b:Author>
    <b:Title>The Economics of Immigration:Theory and Policy</b:Title>
    <b:Year>2013</b:Year>
    <b:Publisher>Springer Science+Business Media New York</b:Publisher>
    <b:City>New York 2013</b:City>
    <b:RefOrder>33</b:RefOrder>
  </b:Source>
  <b:Source>
    <b:Tag>UNE17</b:Tag>
    <b:SourceType>InternetSite</b:SourceType>
    <b:Guid>{5E9C05A1-4367-453E-9ABE-602E9DFDD30C}</b:Guid>
    <b:Title>LEARNING TO LIVE TOGETHER:Migration</b:Title>
    <b:Year>2017</b:Year>
    <b:Author>
      <b:Author>
        <b:Corporate>UNESCO</b:Corporate>
      </b:Author>
    </b:Author>
    <b:URL>http://www.unesco.org/new/en/social-and-human-sciences/themes/international-migration/glossary/migrant/</b:URL>
    <b:RefOrder>34</b:RefOrder>
  </b:Source>
  <b:Source>
    <b:Tag>Eva00</b:Tag>
    <b:SourceType>JournalArticle</b:SourceType>
    <b:Guid>{5DB83921-B070-4BB6-8FF2-5722106EABAC}</b:Guid>
    <b:Title>Crossing boundaries: Racialised gendering and the labour market experiences of pakistani migrant women in britain</b:Title>
    <b:Year>2000</b:Year>
    <b:Author>
      <b:Author>
        <b:NameList>
          <b:Person>
            <b:Last>Evans</b:Last>
            <b:First>S.</b:First>
            <b:Middle>L., &amp; Bowlby, S.</b:Middle>
          </b:Person>
        </b:NameList>
      </b:Author>
    </b:Author>
    <b:JournalName> Women's Studies International Forum, </b:JournalName>
    <b:Pages>23(4), 461-474</b:Pages>
    <b:RefOrder>35</b:RefOrder>
  </b:Source>
  <b:Source>
    <b:Tag>Anw79</b:Tag>
    <b:SourceType>Book</b:SourceType>
    <b:Guid>{1D22AC6D-31B5-46B2-A6DF-B63A6FA146B0}</b:Guid>
    <b:Title>The Myth of return: Pakistanis in Britain</b:Title>
    <b:Year>1979</b:Year>
    <b:Author>
      <b:Author>
        <b:NameList>
          <b:Person>
            <b:Last>Anwar</b:Last>
            <b:First>Muhmmad</b:First>
          </b:Person>
        </b:NameList>
      </b:Author>
    </b:Author>
    <b:Publisher>Heinemann Educational Books; First Edition edition</b:Publisher>
    <b:City>London: Heinemann.</b:City>
    <b:RefOrder>36</b:RefOrder>
  </b:Source>
  <b:Source>
    <b:Tag>Bal02</b:Tag>
    <b:SourceType>BookSection</b:SourceType>
    <b:Guid>{2903253B-9EA1-42F6-9662-A771BC3D5E2B}</b:Guid>
    <b:Title>The South Asian presence in Britain and its transnational connections</b:Title>
    <b:Year>2002</b:Year>
    <b:Pages>(pp. 11-37).</b:Pages>
    <b:Author>
      <b:Author>
        <b:NameList>
          <b:Person>
            <b:Last>Ballard</b:Last>
            <b:First>R.</b:First>
          </b:Person>
        </b:NameList>
      </b:Author>
      <b:BookAuthor>
        <b:NameList>
          <b:Person>
            <b:Last>Shakur</b:Last>
            <b:First>H.</b:First>
            <b:Middle>Chapman &amp; J. A. H.</b:Middle>
          </b:Person>
        </b:NameList>
      </b:BookAuthor>
    </b:Author>
    <b:BookTitle>South Asians in the diaspora: Histories and religious traditions</b:BookTitle>
    <b:City> Brill</b:City>
    <b:RefOrder>37</b:RefOrder>
  </b:Source>
  <b:Source>
    <b:Tag>Int25</b:Tag>
    <b:SourceType>DocumentFromInternetSite</b:SourceType>
    <b:Guid>{90F80D1D-A813-40BA-84A0-FCF29AF69668}</b:Guid>
    <b:Title>World migration report 2024</b:Title>
    <b:Author>
      <b:Author>
        <b:Corporate>International Organization for Migration</b:Corporate>
      </b:Author>
    </b:Author>
    <b:InternetSiteTitle>2024</b:InternetSiteTitle>
    <b:YearAccessed>2025</b:YearAccessed>
    <b:MonthAccessed>March</b:MonthAccessed>
    <b:DayAccessed>19</b:DayAccessed>
    <b:URL>https://www.iom.int</b:URL>
    <b:RefOrder>38</b:RefOrder>
  </b:Source>
  <b:Source>
    <b:Tag>Tar17</b:Tag>
    <b:SourceType>JournalArticle</b:SourceType>
    <b:Guid>{21658783-B77D-497E-BE9A-CAE5AD37821B}</b:Guid>
    <b:Author>
      <b:Author>
        <b:NameList>
          <b:Person>
            <b:Last>Tariq</b:Last>
            <b:First>M.,</b:First>
            <b:Middle>&amp; Syed, J.</b:Middle>
          </b:Person>
        </b:NameList>
      </b:Author>
    </b:Author>
    <b:Title>Intersectionality at work: South Asian Muslim women's experiences of employment and leadership in the United Kingdom</b:Title>
    <b:JournalName>Sex Roles</b:JournalName>
    <b:Year>2017</b:Year>
    <b:Pages>77(7-8), 510-522</b:Pages>
    <b:RefOrder>39</b:RefOrder>
  </b:Source>
  <b:Source>
    <b:Tag>Cre891</b:Tag>
    <b:SourceType>JournalArticle</b:SourceType>
    <b:Guid>{F32CE7AC-A0CD-4180-890C-5D53C95384ED}</b:Guid>
    <b:Author>
      <b:Author>
        <b:NameList>
          <b:Person>
            <b:Last>Crenshaw</b:Last>
            <b:First>K</b:First>
          </b:Person>
        </b:NameList>
      </b:Author>
    </b:Author>
    <b:Title>Demarginalizing the intersection of race and sex: A Black feminist critique of antidiscrimination doctrine, feminist theory, and antiracist politics</b:Title>
    <b:JournalName>University of Chicago Legal Forum</b:JournalName>
    <b:Year>1989</b:Year>
    <b:Pages>139-167</b:Pages>
    <b:RefOrder>40</b:RefOrder>
  </b:Source>
  <b:Source>
    <b:Tag>Mig241</b:Tag>
    <b:SourceType>DocumentFromInternetSite</b:SourceType>
    <b:Guid>{92457588-5D40-4F1C-BF45-3344899C277C}</b:Guid>
    <b:Title>(2024, July 10). Migrants and discrimination in the UK</b:Title>
    <b:Year>2024</b:Year>
    <b:Author>
      <b:Author>
        <b:Corporate>Migration Observatory at the University of Oxford</b:Corporate>
      </b:Author>
    </b:Author>
    <b:InternetSiteTitle>Migration Observatory</b:InternetSiteTitle>
    <b:YearAccessed>2025</b:YearAccessed>
    <b:MonthAccessed>March</b:MonthAccessed>
    <b:DayAccessed>20</b:DayAccessed>
    <b:URL> https://migrationobservatory.ox.ac.uk/resources/briefings/migrants-and-discrimination-in-the-uk/</b:URL>
    <b:RefOrder>41</b:RefOrder>
  </b:Source>
  <b:Source xmlns:b="http://schemas.openxmlformats.org/officeDocument/2006/bibliography">
    <b:Tag>Dal11</b:Tag>
    <b:SourceType>JournalArticle</b:SourceType>
    <b:Guid>{6B3F1CFB-AA29-48AD-A8B6-0C11F6C16052}</b:Guid>
    <b:Author>
      <b:Author>
        <b:NameList>
          <b:Person>
            <b:Last>Dale</b:Last>
            <b:First>A.,</b:First>
            <b:Middle>&amp; Ahmed, S.</b:Middle>
          </b:Person>
        </b:NameList>
      </b:Author>
    </b:Author>
    <b:Title>Marriage and employment patterns amongst UK-raised Indian, Pakistani, and Bangladeshi women</b:Title>
    <b:JournalName>Ethnic and Racial Studies</b:JournalName>
    <b:Year>2011</b:Year>
    <b:Pages>34(6), 902–924.</b:Pages>
    <b:RefOrder>42</b:RefOrder>
  </b:Source>
  <b:Source>
    <b:Tag>Woo24</b:Tag>
    <b:SourceType>JournalArticle</b:SourceType>
    <b:Guid>{04107349-B775-4984-9EA0-B63F83D8A1E2}</b:Guid>
    <b:Author>
      <b:Author>
        <b:NameList>
          <b:Person>
            <b:Last>Woo</b:Last>
            <b:First>H.,</b:First>
            <b:Middle>Park, M., &amp; Ju, H.</b:Middle>
          </b:Person>
        </b:NameList>
      </b:Author>
    </b:Author>
    <b:Title>Cultural dissonance and mental health among immigrant women: The mediating role of social alienation</b:Title>
    <b:JournalName>Journal of Immigrant and Minority Health</b:JournalName>
    <b:Year>2024</b:Year>
    <b:Pages>26(1), 45–58</b:Pages>
    <b:RefOrder>43</b:RefOrder>
  </b:Source>
  <b:Source>
    <b:Tag>Mas93</b:Tag>
    <b:SourceType>JournalArticle</b:SourceType>
    <b:Guid>{29B0B5CC-950D-4AC3-963A-00690B03F49F}</b:Guid>
    <b:Author>
      <b:Author>
        <b:NameList>
          <b:Person>
            <b:Last>Massey</b:Last>
            <b:First>D.</b:First>
            <b:Middle>S., Arango, J., Hugo, G., Kouaouci, A., Pellegrino, A., &amp; Taylor, J. E.</b:Middle>
          </b:Person>
        </b:NameList>
      </b:Author>
    </b:Author>
    <b:Title>Massey, D. S., Arango, J., Hugo, G., Kouaouci, A., Pellegrino, A., &amp; Taylor, J. E. (1993). Theories of international migration: A review and appraisal</b:Title>
    <b:JournalName>Population and development review</b:JournalName>
    <b:Year>1993</b:Year>
    <b:Pages>431-466.</b:Pages>
    <b:RefOrder>44</b:RefOrder>
  </b:Source>
  <b:Source>
    <b:Tag>Ade13</b:Tag>
    <b:SourceType>ConferenceProceedings</b:SourceType>
    <b:Guid>{227707DF-455B-432B-9C80-F3E2BDF0DBF7}</b:Guid>
    <b:Title>Gender, mobility and travel behavior in Pakistan: Analysis of 2007 Time Use Survey</b:Title>
    <b:Year>2013</b:Year>
    <b:Pages>41–46</b:Pages>
    <b:Author>
      <b:Author>
        <b:NameList>
          <b:Person>
            <b:Last>Adeel</b:Last>
            <b:First>M.,</b:First>
            <b:Middle>Anthony GO, Y., &amp; Zhang, F.</b:Middle>
          </b:Person>
        </b:NameList>
      </b:Author>
    </b:Author>
    <b:ConferenceName>5th International Conference on Women's Issues in Transportation - Bridging the Gap</b:ConferenceName>
    <b:City>Paris, France</b:City>
    <b:Publisher>Fédération Internationale de l'Automobile</b:Publisher>
    <b:RefOrder>45</b:RefOrder>
  </b:Source>
  <b:Source>
    <b:Tag>Rah04</b:Tag>
    <b:SourceType>Book</b:SourceType>
    <b:Guid>{98E745F0-5F29-4D38-9221-A3E7711E7A6D}</b:Guid>
    <b:Title>Denizens of alien worlds: A study of education, inequality and polarization in Pakistan.</b:Title>
    <b:Year>2004</b:Year>
    <b:City>Karachi</b:City>
    <b:Publisher>Oxford University Press</b:Publisher>
    <b:Author>
      <b:Author>
        <b:NameList>
          <b:Person>
            <b:Last>Rahman</b:Last>
            <b:First>T.</b:First>
          </b:Person>
        </b:NameList>
      </b:Author>
    </b:Author>
    <b:RefOrder>46</b:RefOrder>
  </b:Source>
  <b:Source>
    <b:Tag>Don06</b:Tag>
    <b:SourceType>JournalArticle</b:SourceType>
    <b:Guid>{2F33C470-9FD7-4A50-86FD-DC4273472B26}</b:Guid>
    <b:Title>A glass half full? Gender in migration studies</b:Title>
    <b:Year>2006</b:Year>
    <b:Author>
      <b:Author>
        <b:NameList>
          <b:Person>
            <b:Last>Donato</b:Last>
            <b:First>K.</b:First>
            <b:Middle>M., Gabaccia, D., Holdaway, J., Manalansan IV, M., &amp; Pessar, P. R.</b:Middle>
          </b:Person>
        </b:NameList>
      </b:Author>
    </b:Author>
    <b:JournalName>International migration review</b:JournalName>
    <b:Pages>40(1), 3-26</b:Pages>
    <b:RefOrder>47</b:RefOrder>
  </b:Source>
  <b:Source>
    <b:Tag>Dem17</b:Tag>
    <b:SourceType>JournalArticle</b:SourceType>
    <b:Guid>{D3227BA4-78F6-4C10-8C22-DFAAEBD31E49}</b:Guid>
    <b:Author>
      <b:Author>
        <b:NameList>
          <b:Person>
            <b:Last>Demireva</b:Last>
            <b:First>N.,</b:First>
            <b:Middle>&amp; Heath, A.</b:Middle>
          </b:Person>
        </b:NameList>
      </b:Author>
    </b:Author>
    <b:Title>Demireva, N., &amp; Heath, A. (2017). Minority embeddedness and economic integration: is diversity or homogeneity associated with better employment outcomes?</b:Title>
    <b:JournalName> Social Inclusion</b:JournalName>
    <b:Year>2017</b:Year>
    <b:Pages>5(1)</b:Pages>
    <b:RefOrder>48</b:RefOrder>
  </b:Source>
  <b:Source>
    <b:Tag>Raf20</b:Tag>
    <b:SourceType>JournalArticle</b:SourceType>
    <b:Guid>{F2BA9956-7580-41E8-A15D-61F2F1F446FC}</b:Guid>
    <b:Author>
      <b:Author>
        <b:NameList>
          <b:Person>
            <b:Last>Rafferty</b:Last>
            <b:First>A.</b:First>
          </b:Person>
        </b:NameList>
      </b:Author>
    </b:Author>
    <b:Title>Skill underutilization and under-skilling in Europe: the role of workplace discrimination</b:Title>
    <b:JournalName>Work, Employment and Society</b:JournalName>
    <b:Year>2020</b:Year>
    <b:Pages>34(2), 317-335</b:Pages>
    <b:RefOrder>49</b:RefOrder>
  </b:Source>
  <b:Source>
    <b:Tag>Sta911</b:Tag>
    <b:SourceType>JournalArticle</b:SourceType>
    <b:Guid>{D4B42BD7-32F4-49E4-85E4-F39AABB23DA4}</b:Guid>
    <b:Author>
      <b:Author>
        <b:NameList>
          <b:Person>
            <b:Last>Stark</b:Last>
            <b:First>O.,</b:First>
            <b:Middle>&amp; Taylor, J. E.</b:Middle>
          </b:Person>
        </b:NameList>
      </b:Author>
    </b:Author>
    <b:Title>Migration incentives, migration types: The role of relative deprivation</b:Title>
    <b:JournalName>The economic journal</b:JournalName>
    <b:Year>1991</b:Year>
    <b:Pages>101(408), 1163-1178</b:Pages>
    <b:RefOrder>50</b:RefOrder>
  </b:Source>
  <b:Source>
    <b:Tag>Por01</b:Tag>
    <b:SourceType>Book</b:SourceType>
    <b:Guid>{48F29CAE-5F5D-4EFA-BDF3-E1093B1B1B80}</b:Guid>
    <b:Title>Legacies: The story of the immigrant second generation</b:Title>
    <b:Year>2001</b:Year>
    <b:Author>
      <b:Author>
        <b:NameList>
          <b:Person>
            <b:Last>Portes</b:Last>
            <b:First>A.,</b:First>
            <b:Middle>&amp; Rumbaut, R. G.</b:Middle>
          </b:Person>
        </b:NameList>
      </b:Author>
    </b:Author>
    <b:Publisher>University of California Press</b:Publisher>
    <b:RefOrder>51</b:RefOrder>
  </b:Source>
  <b:Source>
    <b:Tag>Int241</b:Tag>
    <b:SourceType>DocumentFromInternetSite</b:SourceType>
    <b:Guid>{AFDA7A65-09C0-4447-AC4B-7F915912380A}</b:Guid>
    <b:Title>World Migration Report 2024</b:Title>
    <b:Year>2024</b:Year>
    <b:YearAccessed>2025</b:YearAccessed>
    <b:MonthAccessed>March</b:MonthAccessed>
    <b:DayAccessed>18</b:DayAccessed>
    <b:URL>https://worldmigrationreport.iom.int</b:URL>
    <b:Author>
      <b:Author>
        <b:Corporate>IoM, International Organization for Migration</b:Corporate>
      </b:Author>
    </b:Author>
    <b:InternetSiteTitle>International Organization for Migration</b:InternetSiteTitle>
    <b:RefOrder>52</b:RefOrder>
  </b:Source>
  <b:Source>
    <b:Tag>Pau20</b:Tag>
    <b:SourceType>JournalArticle</b:SourceType>
    <b:Guid>{0A3FA598-BA6A-40FE-9667-AAA173FAFD09}</b:Guid>
    <b:Author>
      <b:Author>
        <b:NameList>
          <b:Person>
            <b:Last>Mendes-Flohr</b:Last>
            <b:First>Paul</b:First>
            <b:Middle>R.</b:Middle>
          </b:Person>
        </b:NameList>
      </b:Author>
    </b:Author>
    <b:Title>SECULAR RELIGIOSITY: REFLECTIONS ON POST-TRADITIONAL JEWISH SPIRITUALITY AND COMMUNITY</b:Title>
    <b:JournalName>JSTOR</b:JournalName>
    <b:Year>2020</b:Year>
    <b:Pages>19-30</b:Pages>
    <b:RefOrder>1</b:RefOrder>
  </b:Source>
  <b:Source>
    <b:Tag>Dav79</b:Tag>
    <b:SourceType>JournalArticle</b:SourceType>
    <b:Guid>{041E95E9-7CF6-41C1-8D05-57F8E01D1605}</b:Guid>
    <b:Author>
      <b:Author>
        <b:NameList>
          <b:Person>
            <b:Last>Richards</b:Last>
            <b:First>David</b:First>
            <b:Middle>A. J.</b:Middle>
          </b:Person>
        </b:NameList>
      </b:Author>
    </b:Author>
    <b:Title>Commercial Sex and the Rights of the Person: A Moral Argument for the Decriminalization of Prostitution</b:Title>
    <b:JournalName>JSTOR</b:JournalName>
    <b:Year>1979</b:Year>
    <b:Pages>1195-1287</b:Pages>
    <b:RefOrder>2</b:RefOrder>
  </b:Source>
  <b:Source>
    <b:Tag>Jam96</b:Tag>
    <b:SourceType>JournalArticle</b:SourceType>
    <b:Guid>{B3F684A0-ECF8-451F-A5ED-EC134C6E9221}</b:Guid>
    <b:Author>
      <b:Author>
        <b:NameList>
          <b:Person>
            <b:Last>Kloppenberg</b:Last>
            <b:First>James</b:First>
            <b:Middle>T.</b:Middle>
          </b:Person>
        </b:NameList>
      </b:Author>
    </b:Author>
    <b:Title>Pragmatism: An Old Name for Some New Ways of Thinking?</b:Title>
    <b:JournalName>JSTOR</b:JournalName>
    <b:Year>1996</b:Year>
    <b:Pages>100-138</b:Pages>
    <b:RefOrder>3</b:RefOrder>
  </b:Source>
  <b:Source>
    <b:Tag>And90</b:Tag>
    <b:SourceType>JournalArticle</b:SourceType>
    <b:Guid>{612F6393-29CD-4565-9AC6-3E96A2FB16DE}</b:Guid>
    <b:Author>
      <b:Author>
        <b:NameList>
          <b:Person>
            <b:Last>Hurrell</b:Last>
            <b:First>Andrew</b:First>
          </b:Person>
        </b:NameList>
      </b:Author>
    </b:Author>
    <b:Title>Kant and the Kantian Paradigm in International Relations</b:Title>
    <b:JournalName>JSTOR</b:JournalName>
    <b:Year>1990</b:Year>
    <b:Pages>183-205</b:Pages>
    <b:RefOrder>4</b:RefOrder>
  </b:Source>
  <b:Source>
    <b:Tag>Imm82</b:Tag>
    <b:SourceType>JournalArticle</b:SourceType>
    <b:Guid>{AC5427C7-1972-4DF9-B667-A7B862E09F16}</b:Guid>
    <b:Author>
      <b:Author>
        <b:NameList>
          <b:Person>
            <b:Last>Psychology</b:Last>
            <b:First>Immanuel</b:First>
            <b:Middle>Kant and the Development of Modern</b:Middle>
          </b:Person>
        </b:NameList>
      </b:Author>
    </b:Author>
    <b:Title>Immanuel Kant and the Development of Modern Psychology</b:Title>
    <b:JournalName>GOOGLE SCHOLAR</b:JournalName>
    <b:Year>1982</b:Year>
    <b:Pages>12-20</b:Pages>
    <b:RefOrder>5</b:RefOrder>
  </b:Source>
  <b:Source>
    <b:Tag>Imm81</b:Tag>
    <b:SourceType>Book</b:SourceType>
    <b:Guid>{84BBADA8-BB57-4B5B-BC5C-B12CDDED1754}</b:Guid>
    <b:Title>Theoretical Philosophy after 1781</b:Title>
    <b:Year>1781</b:Year>
    <b:Author>
      <b:Author>
        <b:NameList>
          <b:Person>
            <b:Last>Kant</b:Last>
            <b:First>Immanuel</b:First>
          </b:Person>
        </b:NameList>
      </b:Author>
    </b:Author>
    <b:City>2002</b:City>
    <b:Publisher>CAMBRIDGE UNIVERSITY PRESS 2004</b:Publisher>
    <b:RefOrder>6</b:RefOrder>
  </b:Source>
  <b:Source>
    <b:Tag>Gra85</b:Tag>
    <b:SourceType>JournalArticle</b:SourceType>
    <b:Guid>{DD441B1B-EFFD-4343-98C7-5DF33ED2D04A}</b:Guid>
    <b:Author>
      <b:Author>
        <b:NameList>
          <b:Person>
            <b:Last>Mindle</b:Last>
            <b:First>Grant</b:First>
            <b:Middle>B.</b:Middle>
          </b:Person>
        </b:NameList>
      </b:Author>
    </b:Author>
    <b:Title>Machiavelli's Realism</b:Title>
    <b:JournalName>JSTOR</b:JournalName>
    <b:Year>1985</b:Year>
    <b:Pages>212-230</b:Pages>
    <b:RefOrder>1</b:RefOrder>
  </b:Source>
  <b:Source>
    <b:Tag>Phi95</b:Tag>
    <b:SourceType>JournalArticle</b:SourceType>
    <b:Guid>{9326334F-9E9E-4EBD-AD53-2D9E95E825EC}</b:Guid>
    <b:Author>
      <b:Author>
        <b:NameList>
          <b:Person>
            <b:Last>Kain</b:Last>
            <b:First>Philip</b:First>
            <b:Middle>J.</b:Middle>
          </b:Person>
        </b:NameList>
      </b:Author>
    </b:Author>
    <b:Title>Niccolò Machiavelli: Adviser of Princes</b:Title>
    <b:JournalName>JSTOR</b:JournalName>
    <b:Year>1995</b:Year>
    <b:Pages>33-55</b:Pages>
    <b:RefOrder>2</b:RefOrder>
  </b:Source>
  <b:Source>
    <b:Tag>Cha02</b:Tag>
    <b:SourceType>JournalArticle</b:SourceType>
    <b:Guid>{02D2E090-2621-4F84-9715-01E6A42B5740}</b:Guid>
    <b:Author>
      <b:Author>
        <b:NameList>
          <b:Person>
            <b:Last>Tarlton</b:Last>
            <b:First>Charles</b:First>
            <b:Middle>D.</b:Middle>
          </b:Person>
        </b:NameList>
      </b:Author>
    </b:Author>
    <b:Title>Political Desire and the Idea of Murder in Machiavelli's "The Prince</b:Title>
    <b:JournalName>JSTOR</b:JournalName>
    <b:Year>2002</b:Year>
    <b:Pages>39-66</b:Pages>
    <b:RefOrder>3</b:RefOrder>
  </b:Source>
  <b:Source>
    <b:Tag>Vic93</b:Tag>
    <b:SourceType>JournalArticle</b:SourceType>
    <b:Guid>{C0F92280-1F53-4515-8531-D9A84B193FAC}</b:Guid>
    <b:Author>
      <b:Author>
        <b:NameList>
          <b:Person>
            <b:Last>Sullivan</b:Last>
            <b:First>Vickie</b:First>
            <b:Middle>B.</b:Middle>
          </b:Person>
        </b:NameList>
      </b:Author>
    </b:Author>
    <b:Title>Neither Christian nor Pagan: Machiavelli's Treatment of Religion in the "Discourses"</b:Title>
    <b:JournalName>JSTOR</b:JournalName>
    <b:Year>1993</b:Year>
    <b:Pages>259-280</b:Pages>
    <b:RefOrder>4</b:RefOrder>
  </b:Source>
  <b:Source>
    <b:Tag>Har81</b:Tag>
    <b:SourceType>JournalArticle</b:SourceType>
    <b:Guid>{8EAA91BD-C594-4325-98C7-5C38D338CFDF}</b:Guid>
    <b:Author>
      <b:Author>
        <b:NameList>
          <b:Person>
            <b:Last>Harvey C. Mansfield</b:Last>
            <b:First>Jr.</b:First>
          </b:Person>
        </b:NameList>
      </b:Author>
    </b:Author>
    <b:Title>Machiavelli's Political Science</b:Title>
    <b:JournalName>JSTOR</b:JournalName>
    <b:Year>1981</b:Year>
    <b:Pages>293-305</b:Pages>
    <b:RefOrder>5</b:RefOrder>
  </b:Source>
  <b:Source>
    <b:Tag>JAR16</b:Tag>
    <b:SourceType>JournalArticle</b:SourceType>
    <b:Guid>{E4CEA79C-8286-4815-910C-C204BC5ADD62}</b:Guid>
    <b:Author>
      <b:Author>
        <b:NameList>
          <b:Person>
            <b:Last>CARTY</b:Last>
            <b:First>JARRETT</b:First>
            <b:Middle>A.</b:Middle>
          </b:Person>
        </b:NameList>
      </b:Author>
    </b:Author>
    <b:Title>Machiavelli’s Art of Politics: A Critique of Humanism and the Lessons of Rome</b:Title>
    <b:JournalName>JSTOR</b:JournalName>
    <b:Year>2016</b:Year>
    <b:Pages>119-135</b:Pages>
    <b:RefOrder>6</b:RefOrder>
  </b:Source>
  <b:Source>
    <b:Tag>Mar71</b:Tag>
    <b:SourceType>JournalArticle</b:SourceType>
    <b:Guid>{F2A3A26E-ABCB-4074-909A-21B2EA5F1795}</b:Guid>
    <b:Author>
      <b:Author>
        <b:NameList>
          <b:Person>
            <b:Last>Colish</b:Last>
            <b:First>Marcia</b:First>
            <b:Middle>L.</b:Middle>
          </b:Person>
        </b:NameList>
      </b:Author>
    </b:Author>
    <b:Title>The Idea of Liberty in Machiavelli</b:Title>
    <b:JournalName>JSTOR</b:JournalName>
    <b:Year>1971</b:Year>
    <b:Pages>323-350</b:Pages>
    <b:RefOrder>7</b:RefOrder>
  </b:Source>
  <b:Source>
    <b:Tag>Bru13</b:Tag>
    <b:SourceType>JournalArticle</b:SourceType>
    <b:Guid>{F3B5EA99-9919-4046-93DB-DB91820DB0DF}</b:Guid>
    <b:Author>
      <b:Author>
        <b:NameList>
          <b:Person>
            <b:Last>Collins</b:Last>
            <b:First>Bruce</b:First>
          </b:Person>
        </b:NameList>
      </b:Author>
    </b:Author>
    <b:Title>The Limits of British Power: Intervention in Portugal, 1820–30</b:Title>
    <b:JournalName>JSTOR</b:JournalName>
    <b:Year>2013</b:Year>
    <b:Pages>744-765</b:Pages>
    <b:RefOrder>1</b:RefOrder>
  </b:Source>
  <b:Source>
    <b:Tag>Ale14</b:Tag>
    <b:SourceType>Book</b:SourceType>
    <b:Guid>{BF663D68-1D60-454E-BC20-FA18B09EB554}</b:Guid>
    <b:Title>Responsibility to Protect</b:Title>
    <b:Year>2014</b:Year>
    <b:Author>
      <b:Author>
        <b:NameList>
          <b:Person>
            <b:Last>Bellamy</b:Last>
            <b:First>Alex</b:First>
            <b:Middle>J.</b:Middle>
          </b:Person>
        </b:NameList>
      </b:Author>
    </b:Author>
    <b:City>LONDON</b:City>
    <b:Publisher>OXFORD UNIVERSITY PRESS</b:Publisher>
    <b:RefOrder>2</b:RefOrder>
  </b:Source>
  <b:Source>
    <b:Tag>Dav12</b:Tag>
    <b:SourceType>JournalArticle</b:SourceType>
    <b:Guid>{9D52B825-669C-4ACC-AD2F-90455380A9EB}</b:Guid>
    <b:Title>Resilience and human security: The post-interventionist paradigm</b:Title>
    <b:Year>2012</b:Year>
    <b:Author>
      <b:Author>
        <b:NameList>
          <b:Person>
            <b:Last>Chandler</b:Last>
            <b:First>David</b:First>
          </b:Person>
        </b:NameList>
      </b:Author>
    </b:Author>
    <b:JournalName>UNIVERSITY OF WESTMINSTER</b:JournalName>
    <b:Pages>213-229</b:Pages>
    <b:RefOrder>3</b:RefOrder>
  </b:Source>
  <b:Source>
    <b:Tag>RIC20</b:Tag>
    <b:SourceType>Book</b:SourceType>
    <b:Guid>{9F01604E-1ADB-485D-BEBF-7386857D0BF1}</b:Guid>
    <b:Author>
      <b:Author>
        <b:NameList>
          <b:Person>
            <b:Last>RICHMOND</b:Last>
            <b:First>OLIVER</b:First>
            <b:Middle>P.</b:Middle>
          </b:Person>
        </b:NameList>
      </b:Author>
    </b:Author>
    <b:Title>Local Legitimacy and International Peace Intervention</b:Title>
    <b:JournalName> Edinburgh University Press</b:JournalName>
    <b:Year>2020</b:Year>
    <b:Pages>288</b:Pages>
    <b:City>CHICAGO</b:City>
    <b:Publisher> Edinburgh University Press</b:Publisher>
    <b:RefOrder>4</b:RefOrder>
  </b:Source>
  <b:Source>
    <b:Tag>Seb12</b:Tag>
    <b:SourceType>JournalArticle</b:SourceType>
    <b:Guid>{3BDB9C9A-8035-4137-B231-7895C53177D8}</b:Guid>
    <b:Title>Conceptualizing in the Minefield: Role Theory and Foreign Policy Learning</b:Title>
    <b:Year>2012</b:Year>
    <b:Author>
      <b:Author>
        <b:NameList>
          <b:Person>
            <b:Last>Harnisch</b:Last>
            <b:First>Sebastian</b:First>
          </b:Person>
        </b:NameList>
      </b:Author>
    </b:Author>
    <b:JournalName>JSTOR</b:JournalName>
    <b:Pages>47-69</b:Pages>
    <b:RefOrder>5</b:RefOrder>
  </b:Source>
  <b:Source>
    <b:Tag>Che16</b:Tag>
    <b:SourceType>JournalArticle</b:SourceType>
    <b:Guid>{46E21C31-8F90-4200-8026-D4AB51A12F2D}</b:Guid>
    <b:Author>
      <b:Author>
        <b:NameList>
          <b:Person>
            <b:Last>Zheng</b:Last>
            <b:First>Chen</b:First>
          </b:Person>
        </b:NameList>
      </b:Author>
    </b:Author>
    <b:Title>China Debates the Non-Interference Principle</b:Title>
    <b:JournalName>JSTOR</b:JournalName>
    <b:Year>2016</b:Year>
    <b:Pages>349-369</b:Pages>
    <b:RefOrder>6</b:RefOrder>
  </b:Source>
  <b:Source>
    <b:Tag>Rit14</b:Tag>
    <b:SourceType>Book</b:SourceType>
    <b:Guid>{678FB52F-C944-45B4-A41C-1CA6306C037E}</b:Guid>
    <b:Title>The African Union's Africa: New Pan-African Initiatives in Global Governance</b:Title>
    <b:Year>2014</b:Year>
    <b:Author>
      <b:Author>
        <b:NameList>
          <b:Person>
            <b:Last>Edozie</b:Last>
            <b:First>Rita</b:First>
            <b:Middle>Kiki</b:Middle>
          </b:Person>
        </b:NameList>
      </b:Author>
    </b:Author>
    <b:City>CHICAGO</b:City>
    <b:Publisher>Michigan State University Press</b:Publisher>
    <b:RefOrder>7</b:RefOrder>
  </b:Source>
  <b:Source>
    <b:Tag>Ala02</b:Tag>
    <b:SourceType>JournalArticle</b:SourceType>
    <b:Guid>{ACB10666-A8BC-45F2-A60D-4D017034E634}</b:Guid>
    <b:Title>The Dangers of US Interventionism</b:Title>
    <b:Year>2002</b:Year>
    <b:Author>
      <b:Author>
        <b:NameList>
          <b:Person>
            <b:Last>Dobson</b:Last>
            <b:First>Alan</b:First>
            <b:Middle>P.</b:Middle>
          </b:Person>
        </b:NameList>
      </b:Author>
    </b:Author>
    <b:JournalName>jstor</b:JournalName>
    <b:Pages>577-597</b:Pages>
    <b:RefOrder>8</b:RefOrder>
  </b:Source>
  <b:Source>
    <b:Tag>Gav95</b:Tag>
    <b:SourceType>JournalArticle</b:SourceType>
    <b:Guid>{1B4A5B2B-50FE-414A-ABD2-486DF0F9A90C}</b:Guid>
    <b:Author>
      <b:Author>
        <b:NameList>
          <b:Person>
            <b:Last>Gavan Duffy</b:Last>
            <b:First>Ted</b:First>
            <b:Middle>Robert Gurr, Philip A. Schrodt, Gottfried Mayer-Kress and Peter Brecke</b:Middle>
          </b:Person>
        </b:NameList>
      </b:Author>
    </b:Author>
    <b:Title>An Early Warning System for the United Nations: Internet or Not?</b:Title>
    <b:Year>1995</b:Year>
    <b:JournalName>JSTOR</b:JournalName>
    <b:Pages>315-326</b:Pages>
    <b:RefOrder>1</b:RefOrder>
  </b:Source>
  <b:Source>
    <b:Tag>MAR25</b:Tag>
    <b:SourceType>Book</b:SourceType>
    <b:Guid>{2B1C4A1D-382F-4AD1-B587-5909ABD83A21}</b:Guid>
    <b:Author>
      <b:Author>
        <b:NameList>
          <b:Person>
            <b:Last>HALLIWELL</b:Last>
            <b:First>MARTIN</b:First>
          </b:Person>
        </b:NameList>
      </b:Author>
    </b:Author>
    <b:Title>Transformed States: Medicine, Biotechnology, and American Culture, 1990–2020</b:Title>
    <b:Year>2025</b:Year>
    <b:City>CHICAGO</b:City>
    <b:Publisher>Rutgers University Press</b:Publisher>
    <b:RefOrder>2</b:RefOrder>
  </b:Source>
  <b:Source>
    <b:Tag>Rob05</b:Tag>
    <b:SourceType>Book</b:SourceType>
    <b:Guid>{80F8CB31-69C6-49C3-B4A9-924EB4630376}</b:Guid>
    <b:Title>Digital Formations: IT and New Architectures in the Global Realm</b:Title>
    <b:Year>2005</b:Year>
    <b:Author>
      <b:Author>
        <b:NameList>
          <b:Person>
            <b:Last>Latham</b:Last>
            <b:First>Robert</b:First>
          </b:Person>
        </b:NameList>
      </b:Author>
    </b:Author>
    <b:City>chicago</b:City>
    <b:Publisher>Princeton University Press</b:Publisher>
    <b:RefOrder>3</b:RefOrder>
  </b:Source>
  <b:Source>
    <b:Tag>Sea10</b:Tag>
    <b:SourceType>JournalArticle</b:SourceType>
    <b:Guid>{1662124B-A516-46FC-8F2E-BF1B5D23D08E}</b:Guid>
    <b:Author>
      <b:Author>
        <b:NameList>
          <b:Person>
            <b:Last>O'Brien</b:Last>
            <b:First>Sean</b:First>
            <b:Middle>P.</b:Middle>
          </b:Person>
        </b:NameList>
      </b:Author>
    </b:Author>
    <b:Title>Crisis Early Warning and Decision Support: Contemporary Approaches and Thoughts on Future Research</b:Title>
    <b:JournalName>JSTOR</b:JournalName>
    <b:Year>2010</b:Year>
    <b:Pages>87-104</b:Pages>
    <b:RefOrder>4</b:RefOrder>
  </b:Source>
  <b:Source>
    <b:Tag>Ele20</b:Tag>
    <b:SourceType>JournalArticle</b:SourceType>
    <b:Guid>{88FE7761-0B14-424E-B4ED-881144F9AC22}</b:Guid>
    <b:Author>
      <b:Author>
        <b:NameList>
          <b:Person>
            <b:Last>Pauwels</b:Last>
            <b:First>Eleonore</b:First>
          </b:Person>
        </b:NameList>
      </b:Author>
    </b:Author>
    <b:Title>Artificial Intelligence and Data Capture Technologies in Violence and Conflict Prevention: Opportunities and Challenges for the International Community</b:Title>
    <b:JournalName>jstor</b:JournalName>
    <b:Year>2020</b:Year>
    <b:Pages>20</b:Pages>
    <b:RefOrder>5</b:RefOrder>
  </b:Source>
  <b:Source>
    <b:Tag>Pet19</b:Tag>
    <b:SourceType>JournalArticle</b:SourceType>
    <b:Guid>{E05344EB-3CC2-4FF8-AC20-A64017C44524}</b:Guid>
    <b:Title>Value Predicate Analysis: A Language-Based Tool for Diagnosing Behavioral Tendencies of Religious or Value-Based Groups in Regions of Conflict</b:Title>
    <b:Year>2019</b:Year>
    <b:Pages>93-113</b:Pages>
    <b:Author>
      <b:Author>
        <b:NameList>
          <b:Person>
            <b:Last>Peter Ochs</b:Last>
            <b:First>Nauman</b:First>
            <b:Middle>Faizi, Jonathan Teubner and Zain Moulvi</b:Middle>
          </b:Person>
        </b:NameList>
      </b:Author>
    </b:Author>
    <b:JournalName>JSTOR</b:JournalName>
    <b:RefOrder>6</b:RefOrder>
  </b:Source>
  <b:Source>
    <b:Tag>Aid23</b:Tag>
    <b:SourceType>Book</b:SourceType>
    <b:Guid>{0E8B773F-ABA5-4219-A7F5-824E06C459DA}</b:Guid>
    <b:Title>Global Security in an Age of Crisis</b:Title>
    <b:Year>2023</b:Year>
    <b:Author>
      <b:Author>
        <b:NameList>
          <b:Person>
            <b:Last>Warren</b:Last>
            <b:First>Aiden</b:First>
          </b:Person>
        </b:NameList>
      </b:Author>
    </b:Author>
    <b:City>CHICAGO</b:City>
    <b:Publisher>Edinburgh University Press</b:Publisher>
    <b:RefOrder>7</b:RefOrder>
  </b:Source>
  <b:Source>
    <b:Tag>Simod</b:Tag>
    <b:SourceType>Book</b:SourceType>
    <b:Guid>{614A6604-000E-45D5-BD74-B51A53D572E4}</b:Guid>
    <b:Title>One day in September: the full story of the 1972 Munich Olympics massacre and the Israeli revenge operation" Wrath of God"</b:Title>
    <b:Year>2011</b:Year>
    <b:Author>
      <b:Author>
        <b:NameList>
          <b:Person>
            <b:Last>Reeve</b:Last>
            <b:First>Simon</b:First>
          </b:Person>
        </b:NameList>
      </b:Author>
    </b:Author>
    <b:RefOrder>1</b:RefOrder>
  </b:Source>
  <b:Source>
    <b:Tag>HWB05</b:Tag>
    <b:SourceType>Book</b:SourceType>
    <b:Guid>{7AB6A5D8-8694-4260-B8F6-E2A819E0279B}</b:Guid>
    <b:Author>
      <b:Author>
        <b:NameList>
          <b:Person>
            <b:Last>Byrne</b:Last>
            <b:First>HW</b:First>
          </b:Person>
        </b:NameList>
      </b:Author>
    </b:Author>
    <b:Title>The Wrath of God</b:Title>
    <b:Year>2005</b:Year>
    <b:RefOrder>2</b:RefOrder>
  </b:Source>
  <b:Source>
    <b:Tag>JKi10</b:Tag>
    <b:SourceType>Book</b:SourceType>
    <b:Guid>{DAA2F6A3-D67C-4F2F-AB57-CAF6180C7760}</b:Guid>
    <b:Author>
      <b:Author>
        <b:NameList>
          <b:Person>
            <b:Last>Kitfield</b:Last>
            <b:First>J</b:First>
          </b:Person>
        </b:NameList>
      </b:Author>
    </b:Author>
    <b:Title>'Wanted: Dead'</b:Title>
    <b:Year>2010</b:Year>
    <b:RefOrder>3</b:RefOrder>
  </b:Source>
  <b:Source>
    <b:Tag>MMo04</b:Tag>
    <b:SourceType>JournalArticle</b:SourceType>
    <b:Guid>{9468293B-58D7-40A6-BCD6-96A5348B846D}</b:Guid>
    <b:Title>Reflections on the Wrath of God</b:Title>
    <b:Year>2004</b:Year>
    <b:Author>
      <b:Author>
        <b:NameList>
          <b:Person>
            <b:Last>Moore</b:Last>
            <b:First>M</b:First>
          </b:Person>
        </b:NameList>
      </b:Author>
    </b:Author>
    <b:JournalName>Journal of the Adventist Theological</b:JournalName>
    <b:RefOrder>4</b:RefOrder>
  </b:Source>
  <b:Source>
    <b:Tag>Gut25</b:Tag>
    <b:SourceType>Book</b:SourceType>
    <b:Guid>{AED5BBC5-7D6E-4E4B-B9EF-C15273CC9765}</b:Guid>
    <b:Author>
      <b:Author>
        <b:NameList>
          <b:Person>
            <b:Last>Guttmann</b:Last>
            <b:First>A</b:First>
          </b:Person>
        </b:NameList>
      </b:Author>
    </b:Author>
    <b:Title>Operation Wrath of God: The Secret History of European Intelligence and Mossad's Assassination Campaign</b:Title>
    <b:Year>2025</b:Year>
    <b:RefOrder>5</b:RefOrder>
  </b:Source>
  <b:Source>
    <b:Tag>MWM20</b:Tag>
    <b:SourceType>JournalArticle</b:SourceType>
    <b:Guid>{5DB9D662-0DAA-421A-A80B-140F27D18D26}</b:Guid>
    <b:Author>
      <b:Author>
        <b:NameList>
          <b:Person>
            <b:Last>Martin</b:Last>
            <b:First>MW</b:First>
          </b:Person>
        </b:NameList>
      </b:Author>
    </b:Author>
    <b:Title>Compassion with Justice: Harari's Assault on Human Rights</b:Title>
    <b:JournalName>The Southern Journal of Philosophy</b:JournalName>
    <b:Year>2020</b:Year>
    <b:RefOrder>6</b:RefOrder>
  </b:Source>
  <b:Source>
    <b:Tag>ABC07</b:Tag>
    <b:SourceType>JournalArticle</b:SourceType>
    <b:Guid>{C5F70426-5412-49E1-B5B3-6E779DF32388}</b:Guid>
    <b:Author>
      <b:Author>
        <b:NameList>
          <b:Person>
            <b:Last>Calahan</b:Last>
            <b:First>AB</b:First>
          </b:Person>
        </b:NameList>
      </b:Author>
    </b:Author>
    <b:Title>Countering Terrorism: 1972 Olympic Massacre and Development of Israeli Covert Action Teams</b:Title>
    <b:Year>2007</b:Year>
    <b:RefOrder>7</b:RefOrder>
  </b:Source>
  <b:Source>
    <b:Tag>SBr13</b:Tag>
    <b:SourceType>JournalArticle</b:SourceType>
    <b:Guid>{F4990875-CEEA-4E37-B580-0532FF0C0332}</b:Guid>
    <b:Title> Operation Wrath of God: Indiscriminate Revenge or Effective Deterrence?</b:Title>
    <b:Year>2013</b:Year>
    <b:Author>
      <b:Author>
        <b:NameList>
          <b:Person>
            <b:Last>Brock</b:Last>
            <b:First>S</b:First>
          </b:Person>
        </b:NameList>
      </b:Author>
    </b:Author>
    <b:RefOrder>8</b:RefOrder>
  </b:Source>
  <b:Source>
    <b:Tag>Ane22</b:Tag>
    <b:SourceType>Book</b:SourceType>
    <b:Guid>{835B2B36-605A-4200-AD66-1DE180D75059}</b:Guid>
    <b:Author>
      <b:Author>
        <b:NameList>
          <b:Person>
            <b:Last>Anejionu</b:Last>
            <b:First>OCD</b:First>
          </b:Person>
        </b:NameList>
      </b:Author>
    </b:Author>
    <b:Title>The Final Battle for Earth: Unlocking the Mysteries of the Coming Great Tribulation and Wrath of God</b:Title>
    <b:Year>2022</b:Year>
    <b:RefOrder>9</b:RefOrder>
  </b:Source>
  <b:Source>
    <b:Tag>ANG23</b:Tag>
    <b:SourceType>JournalArticle</b:SourceType>
    <b:Guid>{B5EDA8D8-45E0-4347-9230-0A543B79EACF}</b:Guid>
    <b:Author>
      <b:Author>
        <b:NameList>
          <b:Person>
            <b:Last>Guiora</b:Last>
            <b:First>AN</b:First>
          </b:Person>
        </b:NameList>
      </b:Author>
    </b:Author>
    <b:Title>“Operation Wrath of God”: Illegal but Necessary</b:Title>
    <b:JournalName>Military Necessity and Just War Statecraft</b:JournalName>
    <b:Year>2023</b:Year>
    <b:RefOrder>10</b:RefOrder>
  </b:Source>
  <b:Source>
    <b:Tag>Kum17</b:Tag>
    <b:SourceType>Book</b:SourceType>
    <b:Guid>{7E44FA14-FCB9-44FE-B2E5-95B8B6748B7C}</b:Guid>
    <b:Author>
      <b:Author>
        <b:NameList>
          <b:Person>
            <b:Last>Kumar</b:Last>
            <b:First>J</b:First>
          </b:Person>
        </b:NameList>
      </b:Author>
    </b:Author>
    <b:Title>Mossad: The Greatest Missions of the Israeli Secret Service by Michael Bar-Zohar and Nissim Mishal</b:Title>
    <b:Year>2017</b:Year>
    <b:RefOrder>11</b:RefOrder>
  </b:Source>
  <b:Source>
    <b:Tag>BMa10</b:Tag>
    <b:SourceType>JournalArticle</b:SourceType>
    <b:Guid>{C2C0C787-FC13-4979-B627-79BA9A27CEA9}</b:Guid>
    <b:Author>
      <b:Author>
        <b:NameList>
          <b:Person>
            <b:Last>Mapes</b:Last>
            <b:First>B</b:First>
          </b:Person>
        </b:NameList>
      </b:Author>
    </b:Author>
    <b:Title>Eye for an Eye: Israel's Swift and Devastating Response to the Munich Massacre at the 1972 Olympic Games</b:Title>
    <b:JournalName>Historia</b:JournalName>
    <b:Year>2010</b:Year>
    <b:RefOrder>12</b:RefOrder>
  </b:Source>
  <b:Source>
    <b:Tag>YGa22</b:Tag>
    <b:SourceType>JournalArticle</b:SourceType>
    <b:Guid>{DD816114-443D-4EB1-8314-E261C3090794}</b:Guid>
    <b:Title>'We can only trust ourselves': Operation Wrath of God in perspective</b:Title>
    <b:Year> 2022</b:Year>
    <b:Author>
      <b:Author>
        <b:NameList>
          <b:Person>
            <b:Last>Galily</b:Last>
            <b:First>Y</b:First>
          </b:Person>
        </b:NameList>
      </b:Author>
    </b:Author>
    <b:RefOrder>13</b:RefOrder>
  </b:Source>
  <b:Source>
    <b:Tag>Placeholder1</b:Tag>
    <b:SourceType>JournalArticle</b:SourceType>
    <b:Guid>{FC6080F4-5A8A-444C-A5EF-8E8E78C78607}</b:Guid>
    <b:RefOrder>14</b:RefOrder>
  </b:Source>
  <b:Source>
    <b:Tag>AGu25</b:Tag>
    <b:SourceType>JournalArticle</b:SourceType>
    <b:Guid>{F014F263-BDAC-45C0-A3BF-361715D21967}</b:Guid>
    <b:Author>
      <b:Author>
        <b:NameList>
          <b:Person>
            <b:Last>Guttmann</b:Last>
            <b:First>A</b:First>
          </b:Person>
        </b:NameList>
      </b:Author>
    </b:Author>
    <b:Title>Manipulating Friends: Mossad's Covert Operations and Disinformation in Europe</b:Title>
    <b:JournalName> Journal of Contemporary Histor</b:JournalName>
    <b:Year>2025</b:Year>
    <b:RefOrder>15</b:RefOrder>
  </b:Source>
  <b:Source xmlns:b="http://schemas.openxmlformats.org/officeDocument/2006/bibliography">
    <b:Tag>AGu251</b:Tag>
    <b:SourceType>JournalArticle</b:SourceType>
    <b:Guid>{B900C303-D72B-4884-9DDE-89445FF66147}</b:Guid>
    <b:Author>
      <b:Author>
        <b:NameList>
          <b:Person>
            <b:Last>Guttmann</b:Last>
            <b:First>A</b:First>
          </b:Person>
        </b:NameList>
      </b:Author>
    </b:Author>
    <b:Title>Manipulating Friends: Mossad's Covert Operations and Disinformation in Europe</b:Title>
    <b:JournalName>ournal of Contemporary History</b:JournalName>
    <b:Year>2025</b:Year>
    <b:RefOrder>16</b:RefOrder>
  </b:Source>
  <b:Source>
    <b:Tag>AGu252</b:Tag>
    <b:SourceType>JournalArticle</b:SourceType>
    <b:Guid>{472D8DF0-1165-4300-90D0-DE2786E1408B}</b:Guid>
    <b:Author>
      <b:Author>
        <b:NameList>
          <b:Person>
            <b:Last>Guttmann</b:Last>
            <b:First>A</b:First>
          </b:Person>
        </b:NameList>
      </b:Author>
    </b:Author>
    <b:Title>Manipulating Friends: Mossad's Covert Operations and Disinformation in Europe</b:Title>
    <b:Year>2025</b:Year>
    <b:RefOrder>17</b:RefOrder>
  </b:Source>
  <b:Source>
    <b:Tag>ABC95</b:Tag>
    <b:SourceType>Book</b:SourceType>
    <b:Guid>{A90B9817-8429-41FB-B63D-A92C69C5D77E}</b:Guid>
    <b:Author>
      <b:Author>
        <b:NameList>
          <b:Person>
            <b:Last>Calahan</b:Last>
            <b:First>AB</b:First>
          </b:Person>
        </b:NameList>
      </b:Author>
    </b:Author>
    <b:Title>Countering terrorism: The Israeli response to the 1972 Munich Olympic massacre and the development of independent covert action teams</b:Title>
    <b:Year>1995</b:Year>
    <b:RefOrder>18</b:RefOrder>
  </b:Source>
  <b:Source xmlns:b="http://schemas.openxmlformats.org/officeDocument/2006/bibliography">
    <b:Tag>Gut251</b:Tag>
    <b:SourceType>JournalArticle</b:SourceType>
    <b:Guid>{4CA1092B-24BB-4DE4-939A-CE2167E63D25}</b:Guid>
    <b:Author>
      <b:Author>
        <b:NameList>
          <b:Person>
            <b:Last>Guttmann</b:Last>
            <b:First>A</b:First>
          </b:Person>
        </b:NameList>
      </b:Author>
    </b:Author>
    <b:Title>Mossad's Accomplices: How Israel Relied on Foreign Intelligence Agencies to Organise its Killing Campaigns</b:Title>
    <b:Year>2025</b:Year>
    <b:JournalName>The English Historical Review</b:JournalName>
    <b:RefOrder>19</b:RefOrder>
  </b:Source>
  <b:Source>
    <b:Tag>AMM16</b:Tag>
    <b:SourceType>Report</b:SourceType>
    <b:Guid>{3C7B3851-1478-480D-893F-59BE42826CF0}</b:Guid>
    <b:Title>, A. M. (2016). ’Securitizing’immigration in Europe: sending them the same (old) message, getting the same (old) reply?.</b:Title>
    <b:Year> 2016</b:Year>
    <b:Publisher>Handbook on migration and social policy, 239.</b:Publisher>
    <b:Author>
      <b:Author>
        <b:NameList>
          <b:Person>
            <b:Last>Messina</b:Last>
            <b:First>A.M</b:First>
          </b:Person>
        </b:NameList>
      </b:Author>
    </b:Author>
    <b:RefOrder>2</b:RefOrder>
  </b:Source>
  <b:Source>
    <b:Tag>Buz98</b:Tag>
    <b:SourceType>Book</b:SourceType>
    <b:Guid>{A173EEDA-E889-428E-88FC-AF99B749CED1}</b:Guid>
    <b:Author>
      <b:Author>
        <b:NameList>
          <b:Person>
            <b:Last>Buzan</b:Last>
            <b:First>B.,</b:First>
            <b:Middle>Wæver, O., Wæver, O., &amp; De Wilde</b:Middle>
          </b:Person>
        </b:NameList>
      </b:Author>
    </b:Author>
    <b:Title>Security: a new framework for analysis</b:Title>
    <b:Year>1998</b:Year>
    <b:City>Boulder</b:City>
    <b:Publisher> Lynne Rienner Publishers</b:Publisher>
    <b:JournalName>Lynne Rienner Publishers</b:JournalName>
    <b:RefOrder>3</b:RefOrder>
  </b:Source>
  <b:Source>
    <b:Tag>Ryc14</b:Tag>
    <b:SourceType>JournalArticle</b:SourceType>
    <b:Guid>{4E3E9C3C-10F5-544F-8330-D21F8EA7C0E2}</b:Guid>
    <b:Author>
      <b:Author>
        <b:NameList>
          <b:Person>
            <b:Last>Rychnovská</b:Last>
            <b:First>Dagmar</b:First>
          </b:Person>
        </b:NameList>
      </b:Author>
    </b:Author>
    <b:Title>Securitization and the Power of Threat Framing</b:Title>
    <b:JournalName>Perspectives</b:JournalName>
    <b:Year>2014</b:Year>
    <b:Pages>9-32</b:Pages>
    <b:Volume>22</b:Volume>
    <b:Issue>2</b:Issue>
    <b:Comments>p.9</b:Comments>
    <b:RefOrder>4</b:RefOrder>
  </b:Source>
  <b:Source>
    <b:Tag>TBa10</b:Tag>
    <b:SourceType>Book</b:SourceType>
    <b:Guid>{52FB2161-0823-0240-96C7-CA5EC9DABFAD}</b:Guid>
    <b:Title>Securitization theory: how security problems emerge and dissolve</b:Title>
    <b:Year>2010</b:Year>
    <b:Publisher>Routledge. P.56</b:Publisher>
    <b:Author>
      <b:Author>
        <b:NameList>
          <b:Person>
            <b:Last>Balzacq</b:Last>
            <b:First>T.</b:First>
          </b:Person>
        </b:NameList>
      </b:Author>
    </b:Author>
    <b:Pages>56</b:Pages>
    <b:RefOrder>5</b:RefOrder>
  </b:Source>
  <b:Source>
    <b:Tag>Wæv</b:Tag>
    <b:SourceType>Book</b:SourceType>
    <b:Guid>{3105C60C-5E6F-4B98-B93D-98301F1B611A}</b:Guid>
    <b:Author>
      <b:Author>
        <b:NameList>
          <b:Person>
            <b:Last>Wæver</b:Last>
            <b:First>O.</b:First>
            <b:Middle>(1993)</b:Middle>
          </b:Person>
        </b:NameList>
      </b:Author>
    </b:Author>
    <b:Title>Securitization and desecuritization</b:Title>
    <b:Publisher>Copenhagen: Centre for Peace and Conflict Research Wæver, O. (1993). Securitization and desecuritization (p. 48)</b:Publisher>
    <b:Year>1993</b:Year>
    <b:RefOrder>6</b:RefOrder>
  </b:Source>
  <b:Source>
    <b:Tag>Placeholder2</b:Tag>
    <b:SourceType>JournalArticle</b:SourceType>
    <b:Guid>{4DE7852D-F5F6-4FFF-9848-62996AFED6C3}</b:Guid>
    <b:Author>
      <b:Author>
        <b:NameList>
          <b:Person>
            <b:Last>Kumpikaitė-Valiūnienė</b:Last>
            <b:First>V.,</b:First>
            <b:Middle>Terungwa Agoh, E., &amp; Žičkutė</b:Middle>
          </b:Person>
        </b:NameList>
      </b:Author>
    </b:Author>
    <b:Title> Refugees as a security threat: case of Lithuania</b:Title>
    <b:Year>2017</b:Year>
    <b:RefOrder>1</b:RefOrder>
  </b:Source>
  <b:Source>
    <b:Tag>Zaf18</b:Tag>
    <b:SourceType>ElectronicSource</b:SourceType>
    <b:Guid>{4033297B-41AC-4403-9F05-CF9DE3B7A6DA}</b:Guid>
    <b:Title>Media Discourse,Youtube Video</b:Title>
    <b:Year>2018</b:Year>
    <b:Author>
      <b:Author>
        <b:NameList>
          <b:Person>
            <b:Last>Iqbal</b:Last>
            <b:First>Zafar</b:First>
          </b:Person>
        </b:NameList>
      </b:Author>
    </b:Author>
    <b:RefOrder>13</b:RefOrder>
  </b:Source>
  <b:Source>
    <b:Tag>Hum09</b:Tag>
    <b:SourceType>JournalArticle</b:SourceType>
    <b:Guid>{B9BEDA6E-6FA7-4E6E-9DD7-57ABDE2B0A40}</b:Guid>
    <b:Author>
      <b:Author>
        <b:NameList>
          <b:Person>
            <b:Last>Humphery</b:Last>
          </b:Person>
        </b:NameList>
      </b:Author>
    </b:Author>
    <b:Title>Securitisation and Domestication of Diaspora Muslims and Islam: Turkish immigrants in Germany and Australia. </b:Title>
    <b:JournalName>International Journal on Multicultural Societies, </b:JournalName>
    <b:Year>2009</b:Year>
    <b:Pages>11(2).</b:Pages>
    <b:RefOrder>14</b:RefOrder>
  </b:Source>
  <b:Source>
    <b:Tag>Ham14</b:Tag>
    <b:SourceType>Book</b:SourceType>
    <b:Guid>{8D0C7D7A-819E-45E5-8DE7-8ABAC4237295}</b:Guid>
    <b:Title>A. (2014). The rise and decline of a global security actor: UNHCR, refugee protection, and security. .</b:Title>
    <b:Year>2014</b:Year>
    <b:Author>
      <b:Author>
        <b:NameList>
          <b:Person>
            <b:Last>Hammerstad</b:Last>
          </b:Person>
        </b:NameList>
      </b:Author>
    </b:Author>
    <b:Publisher>Oxford University Press</b:Publisher>
    <b:RefOrder>7</b:RefOrder>
  </b:Source>
  <b:Source>
    <b:Tag>Mot18</b:Tag>
    <b:SourceType>JournalArticle</b:SourceType>
    <b:Guid>{6A47F37F-35BC-4434-9ECD-EDE355DC5853}</b:Guid>
    <b:Author>
      <b:Author>
        <b:NameList>
          <b:Person>
            <b:Last>Krotofil</b:Last>
            <b:First>Joanna</b:First>
          </b:Person>
          <b:Person>
            <b:Last>Motak</b:Last>
            <b:First>Dominika</b:First>
          </b:Person>
        </b:NameList>
      </b:Author>
    </b:Author>
    <b:Title>A critical discourse analysis of the media coverage of the migration crisis in Poland</b:Title>
    <b:JournalName>The Religious and Ethnic Future of Europe Scripta Instituti Donneriani Aboensis</b:JournalName>
    <b:Year>2018</b:Year>
    <b:Pages>92-115</b:Pages>
    <b:Volume>28</b:Volume>
    <b:RefOrder>11</b:RefOrder>
  </b:Source>
  <b:Source>
    <b:Tag>Par15</b:Tag>
    <b:SourceType>JournalArticle</b:SourceType>
    <b:Guid>{319DE1FE-ED05-48CC-873B-54AB75594143}</b:Guid>
    <b:Author>
      <b:Author>
        <b:NameList>
          <b:Person>
            <b:Last>Parker</b:Last>
            <b:First>Samuel</b:First>
          </b:Person>
        </b:NameList>
      </b:Author>
    </b:Author>
    <b:Title>‘Unwanted invaders’: The representation of refugees and asylum seekers in the UK and Australian print media</b:Title>
    <b:JournalName>Myth and Nation</b:JournalName>
    <b:Year>2015</b:Year>
    <b:Issue>23</b:Issue>
    <b:RefOrder>12</b:RefOrder>
  </b:Source>
  <b:Source>
    <b:Tag>Don17</b:Tag>
    <b:SourceType>JournalArticle</b:SourceType>
    <b:Guid>{D4E2C31A-6858-4A3C-B62A-397D2563183F}</b:Guid>
    <b:Author>
      <b:Author>
        <b:NameList>
          <b:Person>
            <b:Last>Donnelly</b:Last>
            <b:First>Faye</b:First>
          </b:Person>
        </b:NameList>
      </b:Author>
    </b:Author>
    <b:Title>In the name of (de)securitization: Speaking security to protect migrants, refugees and internally displaced people</b:Title>
    <b:JournalName>International Review of Red Cross</b:JournalName>
    <b:Year>2017</b:Year>
    <b:Pages>241-261</b:Pages>
    <b:Volume>99</b:Volume>
    <b:Issue>1</b:Issue>
    <b:RefOrder>15</b:RefOrder>
  </b:Source>
  <b:Source>
    <b:Tag>Mar17</b:Tag>
    <b:SourceType>ArticleInAPeriodical</b:SourceType>
    <b:Guid>{BF5B9B45-BF31-45A8-9D0F-CF2FC650A9C4}</b:Guid>
    <b:Author>
      <b:Author>
        <b:NameList>
          <b:Person>
            <b:Last>Beck</b:Last>
            <b:First>Martin</b:First>
          </b:Person>
        </b:NameList>
      </b:Author>
    </b:Author>
    <b:Title>Securitization of the Recent Influx of Refugees from the Middle East to Europe</b:Title>
    <b:Year>2017</b:Year>
    <b:RefOrder>16</b:RefOrder>
  </b:Source>
  <b:Source>
    <b:Tag>Krz18</b:Tag>
    <b:SourceType>JournalArticle</b:SourceType>
    <b:Guid>{5FC4A1D9-B925-4824-8208-181B9F454FF9}</b:Guid>
    <b:Author>
      <b:Author>
        <b:NameList>
          <b:Person>
            <b:Last>Krzyzanowski</b:Last>
            <b:First>Michal</b:First>
          </b:Person>
        </b:NameList>
      </b:Author>
    </b:Author>
    <b:Title>Discursive Shifts in Ethno-Nationalist Politics: On Politicization and Mediatization of the “Refugee Crisis” in Poland</b:Title>
    <b:JournalName>Journal of Immigrant and Refugee studies</b:JournalName>
    <b:Year>2018</b:Year>
    <b:Volume>16</b:Volume>
    <b:Issue>1-2 mediatization and politicization of Refugee Crisis in Europe</b:Issue>
    <b:RefOrder>10</b:RefOrder>
  </b:Source>
  <b:Source>
    <b:Tag>Gia17</b:Tag>
    <b:SourceType>JournalArticle</b:SourceType>
    <b:Guid>{549D8460-C84C-4D50-BAD2-1783A74C0B70}</b:Guid>
    <b:Author>
      <b:Author>
        <b:NameList>
          <b:Person>
            <b:Last>Gianfreda</b:Last>
            <b:First>Stella</b:First>
          </b:Person>
        </b:NameList>
      </b:Author>
    </b:Author>
    <b:Title>Politicization of the refugee crisis?: A content analysis of parliamentary debates in Italy, the UK, and the EU</b:Title>
    <b:JournalName>Rivista Italiana di Scienza Politica</b:JournalName>
    <b:Year>2017</b:Year>
    <b:Volume>48</b:Volume>
    <b:RefOrder>17</b:RefOrder>
  </b:Source>
  <b:Source>
    <b:Tag>Jak18</b:Tag>
    <b:SourceType>JournalArticle</b:SourceType>
    <b:Guid>{0740A61C-6E10-49AB-9F3A-51E2E5A44F24}</b:Guid>
    <b:Author>
      <b:Author>
        <b:NameList>
          <b:Person>
            <b:Last>Eberal</b:Last>
            <b:First>Jakob-Moritz</b:First>
          </b:Person>
        </b:NameList>
      </b:Author>
    </b:Author>
    <b:Title>The European media discourse on immigration and its effects: a literature review</b:Title>
    <b:Year>2018</b:Year>
    <b:JournalName>Annals of the International communication Association</b:JournalName>
    <b:Volume>42</b:Volume>
    <b:Issue>3</b:Issue>
    <b:Pages>207-223</b:Pages>
    <b:RefOrder>18</b:RefOrder>
  </b:Source>
  <b:Source>
    <b:Tag>Eli16</b:Tag>
    <b:SourceType>JournalArticle</b:SourceType>
    <b:Guid>{55CB23A5-E224-4BC9-9778-0B6ED2808547}</b:Guid>
    <b:Author>
      <b:Author>
        <b:NameList>
          <b:Person>
            <b:Last>Farny</b:Last>
            <b:First>Elisabeth</b:First>
          </b:Person>
        </b:NameList>
      </b:Author>
    </b:Author>
    <b:Title>Implications of Securitization of Migration</b:Title>
    <b:Year>2016</b:Year>
    <b:RefOrder>8</b:RefOrder>
  </b:Source>
  <b:Source>
    <b:Tag>Ver05</b:Tag>
    <b:SourceType>JournalArticle</b:SourceType>
    <b:Guid>{E7A025EC-9E82-480E-88B9-31640BF15156}</b:Guid>
    <b:Title>International relations in a changing political context</b:Title>
    <b:Year>2005</b:Year>
    <b:Author>
      <b:Author>
        <b:NameList>
          <b:Person>
            <b:Last>Verkuyten</b:Last>
            <b:First>M.,</b:First>
            <b:Middle>&amp; Zaremba,</b:Middle>
          </b:Person>
        </b:NameList>
      </b:Author>
    </b:Author>
    <b:JournalName>Social Psychology Quarterly</b:JournalName>
    <b:Pages> 68(4), 375-386.</b:Pages>
    <b:RefOrder>9</b:RefOrder>
  </b:Source>
  <b:Source>
    <b:Tag>Wil00</b:Tag>
    <b:SourceType>BookSection</b:SourceType>
    <b:Guid>{C49E9A45-5FA3-4929-89FE-3A8D2F0D411D}</b:Guid>
    <b:Author>
      <b:Author>
        <b:NameList>
          <b:Person>
            <b:Last>Morris</b:Last>
            <b:First>Willliam</b:First>
          </b:Person>
        </b:NameList>
      </b:Author>
      <b:BookAuthor>
        <b:NameList>
          <b:Person>
            <b:Last>Coupe</b:Last>
            <b:First>Laurence</b:First>
          </b:Person>
        </b:NameList>
      </b:BookAuthor>
    </b:Author>
    <b:Title>Art, Socialism and Environment</b:Title>
    <b:Year>2000</b:Year>
    <b:Pages>32-36</b:Pages>
    <b:BookTitle>Green Studies Reader: From Romanticism to Ecocriticism</b:BookTitle>
    <b:City>Flance, USA</b:City>
    <b:Publisher>Routledge</b:Publisher>
    <b:RefOrder>1</b:RefOrder>
  </b:Source>
  <b:Source>
    <b:Tag>Law00</b:Tag>
    <b:SourceType>BookSection</b:SourceType>
    <b:Guid>{8A3A808B-18EE-4969-9AC7-3AED4F33DD93}</b:Guid>
    <b:Author>
      <b:Author>
        <b:NameList>
          <b:Person>
            <b:Last>Buell</b:Last>
            <b:First>Lawrence</b:First>
          </b:Person>
        </b:NameList>
      </b:Author>
      <b:BookAuthor>
        <b:NameList>
          <b:Person>
            <b:Last>Coupe</b:Last>
            <b:First>Laurence</b:First>
          </b:Person>
        </b:NameList>
      </b:BookAuthor>
    </b:Author>
    <b:Title>Environmental Apocalypticism</b:Title>
    <b:BookTitle>The Green Studies Reader: From Romanticism to Ecocriticism</b:BookTitle>
    <b:Year>2000</b:Year>
    <b:Pages>288-292</b:Pages>
    <b:City>Flance, USA</b:City>
    <b:Publisher>Routledge</b:Publisher>
    <b:RefOrder>2</b:RefOrder>
  </b:Source>
  <b:Source>
    <b:Tag>DrS15</b:Tag>
    <b:SourceType>JournalArticle</b:SourceType>
    <b:Guid>{246E50EE-D4CA-4E4A-B627-DB47E1EDB5E6}</b:Guid>
    <b:Author>
      <b:Author>
        <b:NameList>
          <b:Person>
            <b:Last>Dr Shahbaz Arif</b:Last>
            <b:First>Anila</b:First>
            <b:Middle>Zahir</b:Middle>
          </b:Person>
        </b:NameList>
      </b:Author>
    </b:Author>
    <b:Title>Unmasking Class Stratification and psychological Ailments through Mohsin Hamid's 'How to get Filthy Rich in Asia'</b:Title>
    <b:Year>2015</b:Year>
    <b:Pages>33-42</b:Pages>
    <b:JournalName>Research on Humanities and Social Sciences</b:JournalName>
    <b:RefOrder>3</b:RefOrder>
  </b:Source>
  <b:Source>
    <b:Tag>The11</b:Tag>
    <b:SourceType>Book</b:SourceType>
    <b:Guid>{383B0642-DBE0-467F-9565-6A0668F1F58C}</b:Guid>
    <b:Title>The Encyclopedia of Twentieth Century Fiction</b:Title>
    <b:Year>2011</b:Year>
    <b:Publisher>Wiley Blackwell</b:Publisher>
    <b:RefOrder>4</b:RefOrder>
  </b:Source>
  <b:Source>
    <b:Tag>She15</b:Tag>
    <b:SourceType>JournalArticle</b:SourceType>
    <b:Guid>{CFB71198-5A45-4A70-A44F-8EAD861BCA2C}</b:Guid>
    <b:Author>
      <b:Author>
        <b:NameList>
          <b:Person>
            <b:Last>Sharma</b:Last>
            <b:First>Sheeba</b:First>
            <b:Middle>Himani</b:Middle>
          </b:Person>
        </b:NameList>
      </b:Author>
    </b:Author>
    <b:Title>The Crisis and Complexity of Identity in Mohsin Hamid's The Reluctant Fundamentalist</b:Title>
    <b:Year>2015</b:Year>
    <b:JournalName>International Journal of English Language, Literature in Humanities</b:JournalName>
    <b:Pages>384-392</b:Pages>
    <b:RefOrder>5</b:RefOrder>
  </b:Source>
  <b:Source>
    <b:Tag>Asp11</b:Tag>
    <b:SourceType>Report</b:SourceType>
    <b:Guid>{FB83F607-277C-4A95-82C6-E7FA44DF10B0}</b:Guid>
    <b:Author>
      <b:Author>
        <b:NameList>
          <b:Person>
            <b:Last>Aspden</b:Last>
            <b:First>Rachel</b:First>
          </b:Person>
        </b:NameList>
      </b:Author>
    </b:Author>
    <b:Title>Moth Smoke by Mohsin Hmaid - Review</b:Title>
    <b:Year>2011</b:Year>
    <b:Publisher>The Guardian</b:Publisher>
    <b:RefOrder>6</b:RefOrder>
  </b:Source>
  <b:Source>
    <b:Tag>Lop08</b:Tag>
    <b:SourceType>Report</b:SourceType>
    <b:Guid>{F8C92D7E-8A8C-4940-B16F-BF5F4E1BA926}</b:Guid>
    <b:Author>
      <b:Author>
        <b:NameList>
          <b:Person>
            <b:Last>Patel</b:Last>
            <b:First>Lopa</b:First>
          </b:Person>
        </b:NameList>
      </b:Author>
    </b:Author>
    <b:Title>Excerpt: A People Divided</b:Title>
    <b:Year>2008</b:Year>
    <b:Publisher>Dawn</b:Publisher>
    <b:RefOrder>7</b:RefOrder>
  </b:Source>
  <b:Source>
    <b:Tag>Taj17</b:Tag>
    <b:SourceType>JournalArticle</b:SourceType>
    <b:Guid>{75ADF0CE-045B-4BB7-ABBD-E73DEA702813}</b:Guid>
    <b:Author>
      <b:Author>
        <b:NameList>
          <b:Person>
            <b:Last>Malik</b:Last>
            <b:First>Tajamul</b:First>
            <b:Middle>Islam</b:Middle>
          </b:Person>
        </b:NameList>
      </b:Author>
    </b:Author>
    <b:Title>Moth Smoke: A Study in the Light of Social Conflict Theory</b:Title>
    <b:Year>2017</b:Year>
    <b:JournalName>Research Journal of English Language and Literature</b:JournalName>
    <b:Pages>113-115</b:Pages>
    <b:RefOrder>8</b:RefOrder>
  </b:Source>
  <b:Source>
    <b:Tag>Moh00</b:Tag>
    <b:SourceType>Book</b:SourceType>
    <b:Guid>{634A90E1-41F2-4833-A834-3DAD2A02BF1C}</b:Guid>
    <b:Author>
      <b:Author>
        <b:NameList>
          <b:Person>
            <b:Last>Hamid</b:Last>
            <b:First>Mohisn</b:First>
          </b:Person>
        </b:NameList>
      </b:Author>
    </b:Author>
    <b:Title>Moth Smoke</b:Title>
    <b:Year>2000</b:Year>
    <b:City>London</b:City>
    <b:Publisher>Granta Books</b:Publisher>
    <b:RefOrder>9</b:RefOrder>
  </b:Source>
  <b:Source>
    <b:Tag>Jon00</b:Tag>
    <b:SourceType>BookSection</b:SourceType>
    <b:Guid>{A0B37F40-3747-409F-8B98-CF4C6DEC1674}</b:Guid>
    <b:Author>
      <b:Author>
        <b:NameList>
          <b:Person>
            <b:Last>Bate</b:Last>
            <b:First>Jonathan</b:First>
          </b:Person>
        </b:NameList>
      </b:Author>
      <b:BookAuthor>
        <b:NameList>
          <b:Person>
            <b:Last>Coupe</b:Last>
            <b:First>Laurence</b:First>
          </b:Person>
        </b:NameList>
      </b:BookAuthor>
    </b:Author>
    <b:Title>The Ode to 'Autumn' as Ecosystem</b:Title>
    <b:Year>2000</b:Year>
    <b:City>London</b:City>
    <b:Publisher>Routledge</b:Publisher>
    <b:BookTitle>The Green Studies Reader: From Romanticism to Ecocriticism </b:BookTitle>
    <b:Pages>256-261</b:Pages>
    <b:RefOrder>10</b:RefOrder>
  </b:Source>
  <b:Source>
    <b:Tag>Mun</b:Tag>
    <b:SourceType>JournalArticle</b:SourceType>
    <b:Guid>{1E0456EC-1B63-4CCC-AEB5-13719062C0BB}</b:Guid>
    <b:Author>
      <b:Author>
        <b:NameList>
          <b:Person>
            <b:Last>Yaqoob</b:Last>
            <b:First>Munazza</b:First>
          </b:Person>
        </b:NameList>
      </b:Author>
    </b:Author>
    <b:Title>Human Perversion and Environmental Space: An Ecocritical Study of Mohsin Hamid's Moth Smoke</b:Title>
    <b:Pages>94-103</b:Pages>
    <b:JournalName>International Research Journal of Arts and Humanities</b:JournalName>
    <b:RefOrder>11</b:RefOrder>
  </b:Source>
  <b:Source>
    <b:Tag>Cri11</b:Tag>
    <b:SourceType>JournalArticle</b:SourceType>
    <b:Guid>{36628DFC-E5B1-49AF-93F7-088791EB9887}</b:Guid>
    <b:Author>
      <b:Author>
        <b:NameList>
          <b:Person>
            <b:Last>Lawrence</b:Last>
            <b:First>Cristopher</b:First>
          </b:Person>
        </b:NameList>
      </b:Author>
    </b:Author>
    <b:Title>"Because we carry the fire." : An Eco-Marxist Reading of Cormac McCarthy's The Rad</b:Title>
    <b:Year>2011</b:Year>
    <b:JournalName>International Journal of Humanities and Social Science</b:JournalName>
    <b:Pages>162-167</b:Pages>
    <b:RefOrder>12</b:RefOrder>
  </b:Source>
  <b:Source>
    <b:Tag>Moh001</b:Tag>
    <b:SourceType>Book</b:SourceType>
    <b:Guid>{A0A81045-EE5D-4C61-B23D-5BA1A38B4895}</b:Guid>
    <b:Author>
      <b:Author>
        <b:NameList>
          <b:Person>
            <b:Last>Hamid</b:Last>
            <b:First>Mohsin</b:First>
          </b:Person>
        </b:NameList>
      </b:Author>
    </b:Author>
    <b:Title>Moth Smoke</b:Title>
    <b:Year>2000</b:Year>
    <b:Publisher>Penguin Publishers</b:Publisher>
    <b:RefOrder>13</b:RefOrder>
  </b:Source>
  <b:Source>
    <b:Tag>Moh06</b:Tag>
    <b:SourceType>Book</b:SourceType>
    <b:Guid>{077BFF76-D8E2-414C-BCAF-E9A32E1FEB32}</b:Guid>
    <b:Author>
      <b:Author>
        <b:NameList>
          <b:Person>
            <b:Last>Hamid</b:Last>
            <b:First>Mohsin</b:First>
          </b:Person>
        </b:NameList>
      </b:Author>
    </b:Author>
    <b:Title>Moth Smoke</b:Title>
    <b:Year>2006</b:Year>
    <b:City>London</b:City>
    <b:Publisher>Penguin Books</b:Publisher>
    <b:RefOrder>14</b:RefOrder>
  </b:Source>
  <b:Source>
    <b:Tag>Dar08</b:Tag>
    <b:SourceType>Book</b:SourceType>
    <b:Guid>{BFAC6A99-FCB3-4829-9DFB-7360D5E40ACA}</b:Guid>
    <b:Title>Autobiography and Other Writings</b:Title>
    <b:Year>2008</b:Year>
    <b:City>London</b:City>
    <b:Publisher>The University of Chicago Press</b:Publisher>
    <b:Author>
      <b:Author>
        <b:NameList>
          <b:Person>
            <b:Last>Donabue</b:Last>
            <b:First>Darcy</b:First>
          </b:Person>
        </b:NameList>
      </b:Author>
    </b:Author>
    <b:RefOrder>1</b:RefOrder>
  </b:Source>
  <b:Source>
    <b:Tag>Rob16</b:Tag>
    <b:SourceType>Book</b:SourceType>
    <b:Guid>{29CC043A-C77F-4EE5-BD98-E45FEDD7146F}</b:Guid>
    <b:Title>Reflections on the Memoir as a literary genre and on the production of my memoir, including the musical component</b:Title>
    <b:Year>2016</b:Year>
    <b:City>England</b:City>
    <b:Publisher>University of Salford</b:Publisher>
    <b:Author>
      <b:Author>
        <b:NameList>
          <b:Person>
            <b:Last>Thomas</b:Last>
            <b:First>Robin</b:First>
          </b:Person>
        </b:NameList>
      </b:Author>
    </b:Author>
    <b:RefOrder>2</b:RefOrder>
  </b:Source>
  <b:Source>
    <b:Tag>Lej89</b:Tag>
    <b:SourceType>Book</b:SourceType>
    <b:Guid>{443A978F-441E-41A8-9745-D02B186465C5}</b:Guid>
    <b:Title>On Autobiography</b:Title>
    <b:Year>1989</b:Year>
    <b:City>Paris</b:City>
    <b:Publisher>University of Minnesota Press</b:Publisher>
    <b:Author>
      <b:Author>
        <b:NameList>
          <b:Person>
            <b:Last>Lejeune</b:Last>
            <b:First>Philippe</b:First>
          </b:Person>
        </b:NameList>
      </b:Author>
    </b:Author>
    <b:RefOrder>3</b:RefOrder>
  </b:Source>
  <b:Source>
    <b:Tag>Bil131</b:Tag>
    <b:SourceType>Book</b:SourceType>
    <b:Guid>{D3E7E447-60C8-4ED9-B4C8-FB2E17FD57DE}</b:Guid>
    <b:Title>Postcolonial Studies: The Key Concepts</b:Title>
    <b:Year>2013</b:Year>
    <b:City>USA</b:City>
    <b:Publisher>Routledge</b:Publisher>
    <b:Author>
      <b:Author>
        <b:NameList>
          <b:Person>
            <b:Last>Bill Ashcroft</b:Last>
            <b:First>Gareth</b:First>
            <b:Middle>Griffiths &amp; Helen Tiffin</b:Middle>
          </b:Person>
        </b:NameList>
      </b:Author>
    </b:Author>
    <b:RefOrder>4</b:RefOrder>
  </b:Source>
  <b:Source>
    <b:Tag>Lis091</b:Tag>
    <b:SourceType>JournalArticle</b:SourceType>
    <b:Guid>{E59CFCF0-8939-4BD3-B3A3-C37B2F2C28FB}</b:Guid>
    <b:Title>Re-Orientalism: The Perpetration and Development of Orientalism by Orientals</b:Title>
    <b:Year>2009</b:Year>
    <b:JournalName>Modern Asian Studies</b:JournalName>
    <b:Pages>571-590</b:Pages>
    <b:Author>
      <b:Author>
        <b:NameList>
          <b:Person>
            <b:Last>Lau</b:Last>
            <b:First>Lisa</b:First>
          </b:Person>
        </b:NameList>
      </b:Author>
    </b:Author>
    <b:URL>https://www.jstor.org/stable/pdf/20488093.pdf?refreqid=excelsior%3A70e823dd3a2b16900d2e896c5619008f</b:URL>
    <b:RefOrder>5</b:RefOrder>
  </b:Source>
  <b:Source>
    <b:Tag>Dap041</b:Tag>
    <b:SourceType>Book</b:SourceType>
    <b:Guid>{BE85586B-74E3-4743-8710-857A34C811D7}</b:Guid>
    <b:Title>The Women in the Muslin Mask: Vveiling and Identity in Postcolonial  Literature</b:Title>
    <b:Year>2004</b:Year>
    <b:City>London</b:City>
    <b:Publisher>Pluto Press</b:Publisher>
    <b:Author>
      <b:Author>
        <b:NameList>
          <b:Person>
            <b:Last>Grace</b:Last>
            <b:First>Daphne</b:First>
          </b:Person>
        </b:NameList>
      </b:Author>
    </b:Author>
    <b:RefOrder>6</b:RefOrder>
  </b:Source>
  <b:Source>
    <b:Tag>Fad991</b:Tag>
    <b:SourceType>Book</b:SourceType>
    <b:Guid>{FA63BEBD-AA58-49AA-9BA6-F8C1FE73CA92}</b:Guid>
    <b:Title>Veil: Modesty,Privacy and Resistance</b:Title>
    <b:Year>1999</b:Year>
    <b:City>New York</b:City>
    <b:Publisher>Oxford International Publishers</b:Publisher>
    <b:Author>
      <b:Author>
        <b:NameList>
          <b:Person>
            <b:Last>Guindi</b:Last>
            <b:First>Fadwa</b:First>
            <b:Middle>El</b:Middle>
          </b:Person>
        </b:NameList>
      </b:Author>
    </b:Author>
    <b:RefOrder>7</b:RefOrder>
  </b:Source>
  <b:Source>
    <b:Tag>Tam11</b:Tag>
    <b:SourceType>Book</b:SourceType>
    <b:Guid>{DBCC777E-9F7B-41B3-A7BF-594B0A40A32B}</b:Guid>
    <b:Title>Western Treatment of the Muslim Veil: French and American Sociopolitical Constructions of Hijab</b:Title>
    <b:Year>2011</b:Year>
    <b:Publisher>School of International Service</b:Publisher>
    <b:Author>
      <b:Author>
        <b:NameList>
          <b:Person>
            <b:Last>Coger</b:Last>
            <b:First>Tamara</b:First>
          </b:Person>
        </b:NameList>
      </b:Author>
    </b:Author>
    <b:RefOrder>8</b:RefOrder>
  </b:Source>
  <b:Source>
    <b:Tag>Abd871</b:Tag>
    <b:SourceType>Book</b:SourceType>
    <b:Guid>{16DC6E59-18DF-4874-B752-3FD0903D6271}</b:Guid>
    <b:Title>The Holy Quran</b:Title>
    <b:Year>1987</b:Year>
    <b:City>Medina</b:City>
    <b:Publisher>King Fahd Holy Quran Printing Complex</b:Publisher>
    <b:Author>
      <b:Author>
        <b:NameList>
          <b:Person>
            <b:Last>Ali</b:Last>
            <b:First>Abdullah</b:First>
            <b:Middle>Yousaf</b:Middle>
          </b:Person>
        </b:NameList>
      </b:Author>
    </b:Author>
    <b:RefOrder>9</b:RefOrder>
  </b:Source>
  <b:Source>
    <b:Tag>Muf061</b:Tag>
    <b:SourceType>Book</b:SourceType>
    <b:Guid>{7D7F18D1-32C8-4D84-8F5E-D68D2C172975}</b:Guid>
    <b:Title>The Meanings of the Noble Qur'an with explanatory notes</b:Title>
    <b:Year>2006</b:Year>
    <b:City>Karachi</b:City>
    <b:Publisher>Maktaba Ma'ariful Qur'an</b:Publisher>
    <b:Author>
      <b:Author>
        <b:NameList>
          <b:Person>
            <b:Last>Usmani</b:Last>
            <b:First>Mufti</b:First>
            <b:Middle>Muhammad Taqi</b:Middle>
          </b:Person>
        </b:NameList>
      </b:Author>
    </b:Author>
    <b:RefOrder>10</b:RefOrder>
  </b:Source>
  <b:Source>
    <b:Tag>Zia18</b:Tag>
    <b:SourceType>Book</b:SourceType>
    <b:Guid>{4D404B89-33AA-4855-97E0-BF7F7DB523B2}</b:Guid>
    <b:Title>Let Her Fly: A Father's Journey and the Fight for Equality</b:Title>
    <b:Year>2018</b:Year>
    <b:City>London</b:City>
    <b:Publisher>WH Allen</b:Publisher>
    <b:Author>
      <b:Author>
        <b:NameList>
          <b:Person>
            <b:Last>Carpenter</b:Last>
            <b:First>Ziauddin</b:First>
            <b:Middle>Yousafzai &amp; Louise</b:Middle>
          </b:Person>
        </b:NameList>
      </b:Author>
    </b:Author>
    <b:RefOrder>11</b:RefOrder>
  </b:Source>
  <b:Source>
    <b:Tag>Mal13</b:Tag>
    <b:SourceType>Book</b:SourceType>
    <b:Guid>{D9BB86F6-AB45-4F9B-8C75-A615AA6A5F88}</b:Guid>
    <b:Title>I Am Malala: The Girl Who Stood Up for Education and Was Shot by Taliban</b:Title>
    <b:Year>2013</b:Year>
    <b:City>United Kingdom</b:City>
    <b:Publisher>Weidenfeld &amp; Nicolson</b:Publisher>
    <b:Author>
      <b:Author>
        <b:NameList>
          <b:Person>
            <b:Last>Lamb</b:Last>
            <b:First>Malala</b:First>
            <b:Middle>Yousafzai Christina</b:Middle>
          </b:Person>
        </b:NameList>
      </b:Author>
    </b:Author>
    <b:RefOrder>12</b:RefOrder>
  </b:Source>
  <b:Source>
    <b:Tag>Stu971</b:Tag>
    <b:SourceType>Book</b:SourceType>
    <b:Guid>{59546CF0-AEFF-4C22-828B-0F775F73F803}</b:Guid>
    <b:Title>Representation</b:Title>
    <b:Year>1997</b:Year>
    <b:City>London</b:City>
    <b:Publisher>SAGE Publication</b:Publisher>
    <b:Author>
      <b:Author>
        <b:NameList>
          <b:Person>
            <b:Last>Hall</b:Last>
            <b:First>Stuart</b:First>
          </b:Person>
        </b:NameList>
      </b:Author>
    </b:Author>
    <b:RefOrder>13</b:RefOrder>
  </b:Source>
  <b:Source>
    <b:Tag>Sid01</b:Tag>
    <b:SourceType>Book</b:SourceType>
    <b:Guid>{B7EBF140-B5ED-476C-8E02-14A930071C01}</b:Guid>
    <b:Title>Reading Autobiography: A Guide for Interpreting Life Narratives</b:Title>
    <b:Year>2001</b:Year>
    <b:Publisher>University of Minnesota Press</b:Publisher>
    <b:Author>
      <b:Author>
        <b:NameList>
          <b:Person>
            <b:Last>Watson</b:Last>
            <b:First>Sidonie</b:First>
            <b:Middle>Smith &amp; Julia</b:Middle>
          </b:Person>
        </b:NameList>
      </b:Author>
    </b:Author>
    <b:City>London</b:City>
    <b:RefOrder>14</b:RefOrder>
  </b:Source>
  <b:Source>
    <b:Tag>Uma951</b:Tag>
    <b:SourceType>JournalArticle</b:SourceType>
    <b:Guid>{5BE9F78B-3EE8-4A6F-8699-803B38E83022}</b:Guid>
    <b:Title>Colonialism and Its Others: Considerations on Rights and Care Discourse</b:Title>
    <b:Year>1995</b:Year>
    <b:JournalName>Hypatia</b:JournalName>
    <b:Pages>133-140</b:Pages>
    <b:Author>
      <b:Author>
        <b:NameList>
          <b:Person>
            <b:Last>Narayan</b:Last>
            <b:First>Uma</b:First>
          </b:Person>
        </b:NameList>
      </b:Author>
    </b:Author>
    <b:URL>https://www.jstor.org/stable/pdf/3810285.pdf?refreqid=excelsior%3A6952e93f7da4e0190c0aa28e39fed4d1</b:URL>
    <b:RefOrder>15</b:RefOrder>
  </b:Source>
  <b:Source>
    <b:Tag>Saf112</b:Tag>
    <b:SourceType>JournalArticle</b:SourceType>
    <b:Guid>{FDA9C173-B5CB-4C75-BC91-D781E6E5975E}</b:Guid>
    <b:Author>
      <b:Author>
        <b:NameList>
          <b:Person>
            <b:Last>Sial</b:Last>
            <b:First>Safdar</b:First>
          </b:Person>
        </b:NameList>
      </b:Author>
    </b:Author>
    <b:Title>Pak-Afgan Relation Emerging Trends and Future Prospects</b:Title>
    <b:JournalName>Pak Institute for Peace Studies</b:JournalName>
    <b:Year>2011</b:Year>
    <b:RefOrder>1</b:RefOrder>
  </b:Source>
  <b:Source>
    <b:Tag>Sal14</b:Tag>
    <b:SourceType>JournalArticle</b:SourceType>
    <b:Guid>{EF191576-648E-4749-ACFB-EE762FBAA94D}</b:Guid>
    <b:Author>
      <b:Author>
        <b:NameList>
          <b:Person>
            <b:Last>Kaileh</b:Last>
            <b:First>Salameh</b:First>
          </b:Person>
        </b:NameList>
      </b:Author>
    </b:Author>
    <b:Title>What is Sectarianism in Middle East?</b:Title>
    <b:JournalName>Open Democracy</b:JournalName>
    <b:Year>2014</b:Year>
    <b:RefOrder>2</b:RefOrder>
  </b:Source>
  <b:Source>
    <b:Tag>Nas151</b:Tag>
    <b:SourceType>JournalArticle</b:SourceType>
    <b:Guid>{F54B2924-3C13-40E2-B8CD-D84B0EB045C7}</b:Guid>
    <b:Author>
      <b:Author>
        <b:NameList>
          <b:Person>
            <b:Last>Bukhari</b:Last>
            <b:First>Naseem</b:First>
            <b:Middle>Shah</b:Middle>
          </b:Person>
        </b:NameList>
      </b:Author>
    </b:Author>
    <b:Title>Shikarpuri Bombaar Sindh Lae Nasoor</b:Title>
    <b:Year>2015</b:Year>
    <b:RefOrder>3</b:RefOrder>
  </b:Source>
  <b:Source>
    <b:Tag>Pak13</b:Tag>
    <b:SourceType>JournalArticle</b:SourceType>
    <b:Guid>{FB96D75E-2151-4C8A-B198-9EE97EE99B1E}</b:Guid>
    <b:Author>
      <b:Author>
        <b:NameList>
          <b:Person>
            <b:Last>Studies</b:Last>
            <b:First>Pak</b:First>
            <b:Middle>Institute of Peace</b:Middle>
          </b:Person>
        </b:NameList>
      </b:Author>
    </b:Author>
    <b:Title>Sectarian Violence</b:Title>
    <b:Year>2013</b:Year>
    <b:RefOrder>4</b:RefOrder>
  </b:Source>
  <b:Source>
    <b:Tag>Wil82</b:Tag>
    <b:SourceType>ArticleInAPeriodical</b:SourceType>
    <b:Guid>{43709E81-4B57-472B-9B2E-3B9B1F70FD5A}</b:Guid>
    <b:Title>Religion in Sociological Perspective</b:Title>
    <b:Year>1982</b:Year>
    <b:Author>
      <b:Author>
        <b:NameList>
          <b:Person>
            <b:Last>B</b:Last>
            <b:First>Wilson</b:First>
          </b:Person>
        </b:NameList>
      </b:Author>
    </b:Author>
    <b:PeriodicalTitle>Oxford University Press</b:PeriodicalTitle>
    <b:RefOrder>5</b:RefOrder>
  </b:Source>
  <b:Source>
    <b:Tag>Had</b:Tag>
    <b:SourceType>JournalArticle</b:SourceType>
    <b:Guid>{3CE973E4-D048-4366-8B81-A5B8FD931728}</b:Guid>
    <b:Title>Sectarianism and its Discontents in the study of the middle East.</b:Title>
    <b:Author>
      <b:Author>
        <b:NameList>
          <b:Person>
            <b:Last>Haddad</b:Last>
            <b:First>Fanar</b:First>
          </b:Person>
        </b:NameList>
      </b:Author>
    </b:Author>
    <b:JournalName>Middle East Institute</b:JournalName>
    <b:Year>2017</b:Year>
    <b:RefOrder>6</b:RefOrder>
  </b:Source>
  <b:Source>
    <b:Tag>Aba05</b:Tag>
    <b:SourceType>Book</b:SourceType>
    <b:Guid>{B2866C2C-F2AB-4A2B-97BD-939DFA130AC4}</b:Guid>
    <b:Author>
      <b:Author>
        <b:NameList>
          <b:Person>
            <b:Last>Abass</b:Last>
            <b:First>Hassan</b:First>
          </b:Person>
        </b:NameList>
      </b:Author>
    </b:Author>
    <b:Title>Pak's Drift into Extremism</b:Title>
    <b:Year>2005</b:Year>
    <b:Publisher>Routledge</b:Publisher>
    <b:RefOrder>7</b:RefOrder>
  </b:Source>
  <b:Source>
    <b:Tag>MAR10</b:Tag>
    <b:SourceType>Report</b:SourceType>
    <b:Guid>{7FD43046-2F52-4562-8E11-969CDB833E78}</b:Guid>
    <b:Title>Response to Extremism in Pakistan</b:Title>
    <b:Year>2010</b:Year>
    <b:Publisher>Pak Institute for Peace Studies</b:Publisher>
    <b:Author>
      <b:Author>
        <b:NameList>
          <b:Person>
            <b:Last>Rana</b:Last>
            <b:First>M.A</b:First>
          </b:Person>
        </b:NameList>
      </b:Author>
    </b:Author>
    <b:RefOrder>8</b:RefOrder>
  </b:Source>
  <b:Source>
    <b:Tag>DrM07</b:Tag>
    <b:SourceType>JournalArticle</b:SourceType>
    <b:Guid>{B10987E0-0D17-4B75-8DEE-D03CB26C8B8B}</b:Guid>
    <b:Title>Terrorism-a socio-economic and political phenomenon</b:Title>
    <b:Year>2007</b:Year>
    <b:Author>
      <b:Author>
        <b:NameList>
          <b:Person>
            <b:Last>Yaseen</b:Last>
            <b:First>Dr</b:First>
            <b:Middle>Muzaffar and Dr</b:Middle>
          </b:Person>
        </b:NameList>
      </b:Author>
    </b:Author>
    <b:JournalName>Journal of social sciences and management</b:JournalName>
    <b:RefOrder>9</b:RefOrder>
  </b:Source>
  <b:Source>
    <b:Tag>DrS22</b:Tag>
    <b:SourceType>JournalArticle</b:SourceType>
    <b:Guid>{F06F6972-8D9D-4387-8D9F-D2FD238852C7}</b:Guid>
    <b:Author>
      <b:Author>
        <b:NameList>
          <b:Person>
            <b:Last>Mahesar</b:Last>
            <b:First>Dr</b:First>
            <b:Middle>Shuja Ahmed</b:Middle>
          </b:Person>
        </b:NameList>
      </b:Author>
    </b:Author>
    <b:Title>Violent Extremism and Community Resilence,</b:Title>
    <b:JournalName>Dawn Newspaper</b:JournalName>
    <b:Year>2022</b:Year>
    <b:RefOrder>10</b:RefOrder>
  </b:Source>
  <b:Source>
    <b:Tag>Shu121</b:Tag>
    <b:SourceType>ArticleInAPeriodical</b:SourceType>
    <b:Guid>{CAC671D7-86A6-4417-AD0F-BA6EF65B1B8F}</b:Guid>
    <b:Title>Economic and Social Change in Khairpur (1947-1980)</b:Title>
    <b:Year>2012</b:Year>
    <b:Author>
      <b:Author>
        <b:NameList>
          <b:Person>
            <b:Last>Ahmed</b:Last>
            <b:First>Shuja</b:First>
          </b:Person>
        </b:NameList>
      </b:Author>
    </b:Author>
    <b:PeriodicalTitle>Royal Holloway College </b:PeriodicalTitle>
    <b:RefOrder>11</b:RefOrder>
  </b:Source>
  <b:Source>
    <b:Tag>Lyn09</b:Tag>
    <b:SourceType>ArticleInAPeriodical</b:SourceType>
    <b:Guid>{D33E9FB5-B29B-4EF8-8A71-4BF79A890E24}</b:Guid>
    <b:Author>
      <b:Author>
        <b:NameList>
          <b:Person>
            <b:Last>Lynn Carter</b:Last>
            <b:First>Gulain</b:First>
            <b:Middle>Denoeux</b:Middle>
          </b:Person>
        </b:NameList>
      </b:Author>
    </b:Author>
    <b:Title>Guide to drivers of extremism</b:Title>
    <b:Year>2009</b:Year>
    <b:RefOrder>12</b:RefOrder>
  </b:Source>
  <b:Source>
    <b:Tag>FGr14</b:Tag>
    <b:SourceType>JournalArticle</b:SourceType>
    <b:Guid>{B8412CD2-A1B9-4C2E-B49B-79F649F76520}</b:Guid>
    <b:Title>Beyond Sectarianism: The New Middle East Cold War</b:Title>
    <b:Year>2014</b:Year>
    <b:Author>
      <b:Author>
        <b:NameList>
          <b:Person>
            <b:Last>III</b:Last>
            <b:First>F.Gregory</b:First>
            <b:Middle>Gause</b:Middle>
          </b:Person>
        </b:NameList>
      </b:Author>
    </b:Author>
    <b:JournalName>Brookings Doha Center</b:JournalName>
    <b:RefOrder>13</b:RefOrder>
  </b:Source>
  <b:Source>
    <b:Tag>Kaz221</b:Tag>
    <b:SourceType>ArticleInAPeriodical</b:SourceType>
    <b:Guid>{6C4F759F-A642-4BE2-97E8-C2F3E4D316EA}</b:Guid>
    <b:Title>Rise in Public Approval of Religious Extremism in Pakistan</b:Title>
    <b:Year>2022</b:Year>
    <b:Author>
      <b:Author>
        <b:NameList>
          <b:Person>
            <b:Last>Kazmi</b:Last>
            <b:First>Syeda</b:First>
            <b:Middle>Ulya Ehsen</b:Middle>
          </b:Person>
        </b:NameList>
      </b:Author>
    </b:Author>
    <b:PeriodicalTitle>Munich Personal RePEc Archieve</b:PeriodicalTitle>
    <b:RefOrder>14</b:RefOrder>
  </b:Source>
  <b:Source>
    <b:Tag>Moh221</b:Tag>
    <b:SourceType>JournalArticle</b:SourceType>
    <b:Guid>{2B121FE0-F600-4150-9415-9EC8BF5629DC}</b:Guid>
    <b:Title>Blasphemy Cases in Pakistan: Analysis from 1947 to 2021</b:Title>
    <b:Year>2022</b:Year>
    <b:Author>
      <b:Author>
        <b:NameList>
          <b:Person>
            <b:Last>Nafees</b:Last>
            <b:First>Mohammad</b:First>
          </b:Person>
        </b:NameList>
      </b:Author>
    </b:Author>
    <b:RefOrder>15</b:RefOrder>
  </b:Source>
  <b:Source>
    <b:Tag>Sub031</b:Tag>
    <b:SourceType>JournalArticle</b:SourceType>
    <b:Guid>{4B8D9A4B-AD6C-4651-83F2-F8DD535A1AAF}</b:Guid>
    <b:Author>
      <b:Author>
        <b:NameList>
          <b:Person>
            <b:Last>Chandran</b:Last>
            <b:First>Suba</b:First>
          </b:Person>
        </b:NameList>
      </b:Author>
    </b:Author>
    <b:Title>Sectarian Violence in Pakistan</b:Title>
    <b:Year>2003</b:Year>
    <b:RefOrder>16</b:RefOrder>
  </b:Source>
</b:Sources>
</file>

<file path=customXml/itemProps1.xml><?xml version="1.0" encoding="utf-8"?>
<ds:datastoreItem xmlns:ds="http://schemas.openxmlformats.org/officeDocument/2006/customXml" ds:itemID="{4877AD9B-FE88-4978-B465-A917C3923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8024</TotalTime>
  <Pages>11</Pages>
  <Words>5691</Words>
  <Characters>32442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mactops.pk</dc:creator>
  <cp:keywords/>
  <dc:description/>
  <cp:lastModifiedBy>Dell</cp:lastModifiedBy>
  <cp:revision>261</cp:revision>
  <cp:lastPrinted>2025-12-18T07:05:00Z</cp:lastPrinted>
  <dcterms:created xsi:type="dcterms:W3CDTF">2025-10-16T06:35:00Z</dcterms:created>
  <dcterms:modified xsi:type="dcterms:W3CDTF">2026-07-19T14:00:00Z</dcterms:modified>
</cp:coreProperties>
</file>